
<file path=[Content_Types].xml><?xml version="1.0" encoding="utf-8"?>
<Types xmlns="http://schemas.openxmlformats.org/package/2006/content-types">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Relationships xmlns="http://schemas.openxmlformats.org/package/2006/relationships">
  <Relationship Id="rId1" Type="http://schemas.openxmlformats.org/officeDocument/2006/relationships/extended-properties" Target="docProps/app.xml"/>
  <Relationship Id="rId2" Type="http://schemas.openxmlformats.org/package/2006/relationships/metadata/core-properties" Target="docProps/core.xml"/>
  <Relationship Id="rId3" Type="http://schemas.openxmlformats.org/officeDocument/2006/relationships/custom-properties" Target="docProps/custom.xml"/>
  <Relationship Id="rId4" Type="http://schemas.openxmlformats.org/officeDocument/2006/relationships/officeDocument" Target="word/document.xml"/>
</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jc w:val="center"/>
        <w:rPr>
          <w:rFonts w:hint="eastAsia" w:ascii="宋体" w:hAnsi="宋体" w:eastAsia="宋体"/>
          <w:b/>
          <w:color w:val="auto"/>
          <w:sz w:val="30"/>
          <w:szCs w:val="30"/>
          <w:highlight w:val="none"/>
          <w:lang w:eastAsia="zh-CN"/>
        </w:rPr>
      </w:pPr>
      <w:r>
        <w:rPr>
          <w:rFonts w:hint="eastAsia" w:ascii="宋体" w:hAnsi="宋体"/>
          <w:b/>
          <w:color w:val="auto"/>
          <w:sz w:val="30"/>
          <w:szCs w:val="30"/>
          <w:highlight w:val="none"/>
          <w:lang w:eastAsia="zh-CN"/>
        </w:rPr>
        <w:t>十二中_教学楼加固维修项目</w:t>
      </w:r>
    </w:p>
    <w:p>
      <w:pPr>
        <w:spacing w:line="360" w:lineRule="auto"/>
        <w:jc w:val="center"/>
        <w:rPr>
          <w:rFonts w:ascii="宋体"/>
          <w:b/>
          <w:color w:val="auto"/>
          <w:sz w:val="30"/>
          <w:szCs w:val="30"/>
          <w:highlight w:val="none"/>
        </w:rPr>
      </w:pPr>
      <w:r>
        <w:rPr>
          <w:rFonts w:hint="eastAsia" w:ascii="宋体" w:hAnsi="宋体"/>
          <w:b/>
          <w:color w:val="auto"/>
          <w:sz w:val="30"/>
          <w:szCs w:val="30"/>
          <w:highlight w:val="none"/>
          <w:lang w:eastAsia="zh-CN"/>
        </w:rPr>
        <w:t>竞争性磋商</w:t>
      </w:r>
      <w:r>
        <w:rPr>
          <w:rFonts w:hint="eastAsia" w:ascii="宋体" w:hAnsi="宋体"/>
          <w:b/>
          <w:color w:val="auto"/>
          <w:sz w:val="30"/>
          <w:szCs w:val="30"/>
          <w:highlight w:val="none"/>
        </w:rPr>
        <w:t>公告</w:t>
      </w:r>
    </w:p>
    <w:p>
      <w:pPr>
        <w:spacing w:line="360" w:lineRule="auto"/>
        <w:ind w:firstLine="480" w:firstLineChars="200"/>
        <w:rPr>
          <w:rFonts w:ascii="宋体"/>
          <w:color w:val="auto"/>
          <w:sz w:val="24"/>
          <w:szCs w:val="24"/>
          <w:highlight w:val="none"/>
        </w:rPr>
      </w:pPr>
      <w:r>
        <w:rPr>
          <w:rFonts w:hint="eastAsia" w:ascii="宋体" w:hAnsi="宋体"/>
          <w:color w:val="auto"/>
          <w:sz w:val="24"/>
          <w:szCs w:val="24"/>
          <w:highlight w:val="none"/>
        </w:rPr>
        <w:t>哈尔滨鸿翔建设项目项目管理有限公司受</w:t>
      </w:r>
      <w:r>
        <w:rPr>
          <w:rFonts w:hint="eastAsia" w:ascii="宋体" w:hAnsi="宋体"/>
          <w:color w:val="auto"/>
          <w:sz w:val="24"/>
          <w:szCs w:val="24"/>
          <w:highlight w:val="none"/>
          <w:lang w:eastAsia="zh-CN"/>
        </w:rPr>
        <w:t>哈尔滨市第十二中学校</w:t>
      </w:r>
      <w:r>
        <w:rPr>
          <w:rFonts w:hint="eastAsia" w:ascii="宋体" w:hAnsi="宋体"/>
          <w:color w:val="auto"/>
          <w:sz w:val="24"/>
          <w:szCs w:val="24"/>
          <w:highlight w:val="none"/>
        </w:rPr>
        <w:t>的委托，对</w:t>
      </w:r>
      <w:r>
        <w:rPr>
          <w:rFonts w:hint="eastAsia" w:ascii="宋体" w:hAnsi="宋体"/>
          <w:color w:val="auto"/>
          <w:sz w:val="24"/>
          <w:szCs w:val="24"/>
          <w:highlight w:val="none"/>
          <w:lang w:eastAsia="zh-CN"/>
        </w:rPr>
        <w:t>十二中_教学楼加固维修项目</w:t>
      </w:r>
      <w:r>
        <w:rPr>
          <w:rFonts w:hint="eastAsia" w:ascii="宋体" w:hAnsi="宋体"/>
          <w:color w:val="auto"/>
          <w:sz w:val="24"/>
          <w:szCs w:val="24"/>
          <w:highlight w:val="none"/>
        </w:rPr>
        <w:t>进行国内</w:t>
      </w:r>
      <w:r>
        <w:rPr>
          <w:rFonts w:hint="eastAsia" w:ascii="宋体" w:hAnsi="宋体"/>
          <w:color w:val="auto"/>
          <w:sz w:val="24"/>
          <w:szCs w:val="24"/>
          <w:highlight w:val="none"/>
          <w:lang w:eastAsia="zh-CN"/>
        </w:rPr>
        <w:t>竞争性磋商</w:t>
      </w:r>
      <w:r>
        <w:rPr>
          <w:rFonts w:hint="eastAsia" w:ascii="宋体" w:hAnsi="宋体"/>
          <w:color w:val="auto"/>
          <w:sz w:val="24"/>
          <w:szCs w:val="24"/>
          <w:highlight w:val="none"/>
        </w:rPr>
        <w:t>采购，现欢迎国内合格的投标人参加投标。</w:t>
      </w:r>
    </w:p>
    <w:p>
      <w:pPr>
        <w:spacing w:line="360" w:lineRule="auto"/>
        <w:ind w:firstLine="480" w:firstLineChars="200"/>
        <w:rPr>
          <w:rFonts w:hint="eastAsia" w:ascii="宋体" w:eastAsia="宋体"/>
          <w:color w:val="auto"/>
          <w:sz w:val="24"/>
          <w:szCs w:val="24"/>
          <w:highlight w:val="none"/>
          <w:lang w:eastAsia="zh-CN"/>
        </w:rPr>
      </w:pPr>
      <w:r>
        <w:rPr>
          <w:rFonts w:hint="eastAsia" w:ascii="宋体" w:hAnsi="宋体"/>
          <w:color w:val="auto"/>
          <w:sz w:val="24"/>
          <w:szCs w:val="24"/>
          <w:highlight w:val="none"/>
        </w:rPr>
        <w:t>一、项目名称：</w:t>
      </w:r>
      <w:r>
        <w:rPr>
          <w:rFonts w:hint="eastAsia" w:ascii="宋体" w:hAnsi="宋体"/>
          <w:color w:val="auto"/>
          <w:sz w:val="24"/>
          <w:szCs w:val="24"/>
          <w:highlight w:val="none"/>
          <w:lang w:eastAsia="zh-CN"/>
        </w:rPr>
        <w:t>十二中_教学楼加固维修项目</w:t>
      </w:r>
    </w:p>
    <w:p>
      <w:pPr>
        <w:spacing w:line="360" w:lineRule="auto"/>
        <w:ind w:firstLine="480" w:firstLineChars="200"/>
        <w:rPr>
          <w:rFonts w:ascii="宋体"/>
          <w:color w:val="auto"/>
          <w:sz w:val="24"/>
          <w:szCs w:val="24"/>
          <w:highlight w:val="none"/>
        </w:rPr>
      </w:pPr>
      <w:r>
        <w:rPr>
          <w:rFonts w:hint="eastAsia" w:ascii="宋体" w:hAnsi="宋体"/>
          <w:color w:val="auto"/>
          <w:sz w:val="24"/>
          <w:szCs w:val="24"/>
          <w:highlight w:val="none"/>
        </w:rPr>
        <w:t>二、项目编号：DWC[2019]0068</w:t>
      </w:r>
    </w:p>
    <w:p>
      <w:pPr>
        <w:spacing w:line="360" w:lineRule="auto"/>
        <w:ind w:firstLine="480" w:firstLineChars="200"/>
        <w:rPr>
          <w:rFonts w:ascii="宋体"/>
          <w:color w:val="auto"/>
          <w:sz w:val="24"/>
          <w:szCs w:val="24"/>
          <w:highlight w:val="none"/>
        </w:rPr>
      </w:pPr>
      <w:r>
        <w:rPr>
          <w:rFonts w:hint="eastAsia" w:ascii="宋体" w:hAnsi="宋体"/>
          <w:color w:val="auto"/>
          <w:sz w:val="24"/>
          <w:szCs w:val="24"/>
          <w:highlight w:val="none"/>
        </w:rPr>
        <w:t>三、资金性质：财政资金（10987000.00元）</w:t>
      </w:r>
    </w:p>
    <w:p>
      <w:pPr>
        <w:spacing w:line="360" w:lineRule="auto"/>
        <w:ind w:firstLine="480" w:firstLineChars="200"/>
        <w:rPr>
          <w:rFonts w:ascii="宋体"/>
          <w:color w:val="auto"/>
          <w:sz w:val="24"/>
          <w:szCs w:val="24"/>
          <w:highlight w:val="none"/>
        </w:rPr>
      </w:pPr>
      <w:r>
        <w:rPr>
          <w:rFonts w:hint="eastAsia" w:ascii="宋体" w:hAnsi="宋体"/>
          <w:color w:val="auto"/>
          <w:sz w:val="24"/>
          <w:szCs w:val="24"/>
          <w:highlight w:val="none"/>
        </w:rPr>
        <w:t>四、招标范围：工程量清单</w:t>
      </w:r>
      <w:r>
        <w:rPr>
          <w:rFonts w:hint="eastAsia" w:ascii="宋体" w:hAnsi="宋体"/>
          <w:color w:val="auto"/>
          <w:sz w:val="24"/>
          <w:szCs w:val="24"/>
          <w:highlight w:val="none"/>
          <w:lang w:eastAsia="zh-CN"/>
        </w:rPr>
        <w:t>及图纸</w:t>
      </w:r>
      <w:r>
        <w:rPr>
          <w:rFonts w:hint="eastAsia" w:ascii="宋体" w:hAnsi="宋体"/>
          <w:color w:val="auto"/>
          <w:sz w:val="24"/>
          <w:szCs w:val="24"/>
          <w:highlight w:val="none"/>
        </w:rPr>
        <w:t>所包含的全部内容</w:t>
      </w:r>
      <w:r>
        <w:rPr>
          <w:rFonts w:hint="eastAsia" w:ascii="宋体" w:hAnsi="宋体"/>
          <w:color w:val="auto"/>
          <w:sz w:val="24"/>
          <w:szCs w:val="24"/>
          <w:highlight w:val="none"/>
          <w:lang w:eastAsia="zh-CN"/>
        </w:rPr>
        <w:t>，包含十二中加固、装饰、电气、给排水、弱电等项目</w:t>
      </w:r>
      <w:r>
        <w:rPr>
          <w:rFonts w:hint="eastAsia" w:ascii="宋体" w:hAnsi="宋体"/>
          <w:color w:val="auto"/>
          <w:sz w:val="24"/>
          <w:szCs w:val="24"/>
          <w:highlight w:val="none"/>
        </w:rPr>
        <w:t>。</w:t>
      </w:r>
    </w:p>
    <w:p>
      <w:pPr>
        <w:spacing w:line="360" w:lineRule="auto"/>
        <w:ind w:firstLine="480" w:firstLineChars="200"/>
        <w:rPr>
          <w:rFonts w:ascii="宋体"/>
          <w:color w:val="auto"/>
          <w:sz w:val="24"/>
          <w:szCs w:val="24"/>
          <w:highlight w:val="none"/>
        </w:rPr>
      </w:pPr>
      <w:r>
        <w:rPr>
          <w:rFonts w:hint="eastAsia" w:ascii="宋体" w:hAnsi="宋体"/>
          <w:color w:val="auto"/>
          <w:sz w:val="24"/>
          <w:szCs w:val="24"/>
          <w:highlight w:val="none"/>
        </w:rPr>
        <w:t>五、招标内容：</w:t>
      </w:r>
    </w:p>
    <w:p>
      <w:pPr>
        <w:spacing w:line="360" w:lineRule="auto"/>
        <w:ind w:firstLine="480" w:firstLineChars="200"/>
        <w:rPr>
          <w:rFonts w:ascii="宋体"/>
          <w:color w:val="auto"/>
          <w:sz w:val="24"/>
          <w:szCs w:val="24"/>
          <w:highlight w:val="none"/>
        </w:rPr>
      </w:pPr>
      <w:r>
        <w:rPr>
          <w:rFonts w:ascii="宋体" w:hAnsi="宋体"/>
          <w:color w:val="auto"/>
          <w:sz w:val="24"/>
          <w:szCs w:val="24"/>
          <w:highlight w:val="none"/>
        </w:rPr>
        <w:t>1</w:t>
      </w:r>
      <w:r>
        <w:rPr>
          <w:rFonts w:hint="eastAsia" w:ascii="宋体" w:hAnsi="宋体"/>
          <w:color w:val="auto"/>
          <w:sz w:val="24"/>
          <w:szCs w:val="24"/>
          <w:highlight w:val="none"/>
        </w:rPr>
        <w:t>、计划工期：合同签订后</w:t>
      </w:r>
      <w:r>
        <w:rPr>
          <w:rFonts w:hint="eastAsia" w:ascii="宋体" w:hAnsi="宋体"/>
          <w:color w:val="auto"/>
          <w:sz w:val="24"/>
          <w:szCs w:val="24"/>
          <w:highlight w:val="none"/>
          <w:lang w:val="en-US" w:eastAsia="zh-CN"/>
        </w:rPr>
        <w:t>365</w:t>
      </w:r>
      <w:r>
        <w:rPr>
          <w:rFonts w:hint="eastAsia" w:ascii="宋体" w:hAnsi="宋体"/>
          <w:color w:val="auto"/>
          <w:sz w:val="24"/>
          <w:szCs w:val="24"/>
          <w:highlight w:val="none"/>
        </w:rPr>
        <w:t>日历天。</w:t>
      </w:r>
    </w:p>
    <w:p>
      <w:pPr>
        <w:spacing w:line="360" w:lineRule="auto"/>
        <w:ind w:firstLine="480" w:firstLineChars="200"/>
        <w:rPr>
          <w:rFonts w:ascii="宋体"/>
          <w:color w:val="auto"/>
          <w:sz w:val="24"/>
          <w:szCs w:val="24"/>
          <w:highlight w:val="none"/>
        </w:rPr>
      </w:pPr>
      <w:r>
        <w:rPr>
          <w:rFonts w:ascii="宋体" w:hAnsi="宋体"/>
          <w:color w:val="auto"/>
          <w:sz w:val="24"/>
          <w:szCs w:val="24"/>
          <w:highlight w:val="none"/>
        </w:rPr>
        <w:t>2</w:t>
      </w:r>
      <w:r>
        <w:rPr>
          <w:rFonts w:hint="eastAsia" w:ascii="宋体" w:hAnsi="宋体"/>
          <w:color w:val="auto"/>
          <w:sz w:val="24"/>
          <w:szCs w:val="24"/>
          <w:highlight w:val="none"/>
        </w:rPr>
        <w:t>、质量标准：符合现行工程施工质量验收标准以及相关专业验收规范的合格标准；</w:t>
      </w:r>
    </w:p>
    <w:p>
      <w:pPr>
        <w:spacing w:line="360" w:lineRule="auto"/>
        <w:ind w:firstLine="480" w:firstLineChars="200"/>
        <w:rPr>
          <w:rFonts w:ascii="宋体"/>
          <w:color w:val="auto"/>
          <w:sz w:val="24"/>
          <w:szCs w:val="24"/>
          <w:highlight w:val="none"/>
        </w:rPr>
      </w:pPr>
      <w:r>
        <w:rPr>
          <w:rFonts w:ascii="宋体" w:hAnsi="宋体"/>
          <w:color w:val="auto"/>
          <w:sz w:val="24"/>
          <w:szCs w:val="24"/>
          <w:highlight w:val="none"/>
        </w:rPr>
        <w:t>3</w:t>
      </w:r>
      <w:r>
        <w:rPr>
          <w:rFonts w:hint="eastAsia" w:ascii="宋体" w:hAnsi="宋体"/>
          <w:color w:val="auto"/>
          <w:sz w:val="24"/>
          <w:szCs w:val="24"/>
          <w:highlight w:val="none"/>
        </w:rPr>
        <w:t>、建设地点：</w:t>
      </w:r>
      <w:r>
        <w:rPr>
          <w:rFonts w:hint="eastAsia" w:ascii="宋体" w:hAnsi="宋体"/>
          <w:color w:val="auto"/>
          <w:sz w:val="24"/>
          <w:szCs w:val="24"/>
          <w:highlight w:val="none"/>
          <w:lang w:eastAsia="zh-CN"/>
        </w:rPr>
        <w:t>哈尔滨市道外区宏伟路28号</w:t>
      </w:r>
      <w:r>
        <w:rPr>
          <w:rFonts w:hint="eastAsia" w:ascii="宋体" w:hAnsi="宋体"/>
          <w:color w:val="auto"/>
          <w:sz w:val="24"/>
          <w:szCs w:val="24"/>
          <w:highlight w:val="none"/>
        </w:rPr>
        <w:t>；</w:t>
      </w:r>
    </w:p>
    <w:p>
      <w:pPr>
        <w:spacing w:line="360" w:lineRule="auto"/>
        <w:ind w:firstLine="480" w:firstLineChars="200"/>
        <w:rPr>
          <w:rFonts w:ascii="宋体" w:hAnsi="宋体"/>
          <w:color w:val="auto"/>
          <w:sz w:val="24"/>
          <w:szCs w:val="24"/>
          <w:highlight w:val="none"/>
        </w:rPr>
      </w:pPr>
      <w:r>
        <w:rPr>
          <w:rFonts w:ascii="宋体" w:hAnsi="宋体"/>
          <w:color w:val="auto"/>
          <w:sz w:val="24"/>
          <w:szCs w:val="24"/>
          <w:highlight w:val="none"/>
        </w:rPr>
        <w:t>4</w:t>
      </w:r>
      <w:r>
        <w:rPr>
          <w:rFonts w:hint="eastAsia" w:ascii="宋体" w:hAnsi="宋体"/>
          <w:color w:val="auto"/>
          <w:sz w:val="24"/>
          <w:szCs w:val="24"/>
          <w:highlight w:val="none"/>
        </w:rPr>
        <w:t>、标段划分：本项目不划分标段。</w:t>
      </w:r>
    </w:p>
    <w:p>
      <w:pPr>
        <w:spacing w:line="360" w:lineRule="auto"/>
        <w:ind w:firstLine="480" w:firstLineChars="200"/>
        <w:rPr>
          <w:rFonts w:ascii="宋体"/>
          <w:color w:val="auto"/>
          <w:sz w:val="24"/>
          <w:szCs w:val="24"/>
          <w:highlight w:val="none"/>
        </w:rPr>
      </w:pPr>
      <w:r>
        <w:rPr>
          <w:rFonts w:hint="eastAsia" w:ascii="宋体" w:hAnsi="宋体"/>
          <w:color w:val="auto"/>
          <w:sz w:val="24"/>
          <w:szCs w:val="24"/>
          <w:highlight w:val="none"/>
        </w:rPr>
        <w:t>六、投标人的资格要求：</w:t>
      </w:r>
    </w:p>
    <w:p>
      <w:pPr>
        <w:spacing w:line="360" w:lineRule="auto"/>
        <w:ind w:firstLine="480" w:firstLineChars="200"/>
        <w:rPr>
          <w:rFonts w:ascii="宋体"/>
          <w:color w:val="auto"/>
          <w:sz w:val="24"/>
          <w:szCs w:val="24"/>
          <w:highlight w:val="none"/>
        </w:rPr>
      </w:pPr>
      <w:r>
        <w:rPr>
          <w:rFonts w:ascii="宋体" w:hAnsi="宋体"/>
          <w:color w:val="auto"/>
          <w:sz w:val="24"/>
          <w:szCs w:val="24"/>
          <w:highlight w:val="none"/>
        </w:rPr>
        <w:t>1</w:t>
      </w:r>
      <w:r>
        <w:rPr>
          <w:rFonts w:hint="eastAsia" w:ascii="宋体" w:hAnsi="宋体"/>
          <w:color w:val="auto"/>
          <w:sz w:val="24"/>
          <w:szCs w:val="24"/>
          <w:highlight w:val="none"/>
        </w:rPr>
        <w:t>、拟参加本项目投标的潜在投标人应具备《政府采购法》第二十二条供应商资格条件；</w:t>
      </w:r>
    </w:p>
    <w:p>
      <w:pPr>
        <w:spacing w:line="360" w:lineRule="auto"/>
        <w:ind w:firstLine="480" w:firstLineChars="200"/>
        <w:rPr>
          <w:rFonts w:ascii="宋体"/>
          <w:color w:val="auto"/>
          <w:sz w:val="24"/>
          <w:szCs w:val="24"/>
          <w:highlight w:val="none"/>
        </w:rPr>
      </w:pPr>
      <w:r>
        <w:rPr>
          <w:rFonts w:ascii="宋体" w:hAnsi="宋体"/>
          <w:color w:val="auto"/>
          <w:sz w:val="24"/>
          <w:szCs w:val="24"/>
          <w:highlight w:val="none"/>
        </w:rPr>
        <w:t>2</w:t>
      </w:r>
      <w:r>
        <w:rPr>
          <w:rFonts w:hint="eastAsia" w:ascii="宋体" w:hAnsi="宋体"/>
          <w:color w:val="auto"/>
          <w:sz w:val="24"/>
          <w:szCs w:val="24"/>
          <w:highlight w:val="none"/>
        </w:rPr>
        <w:t>、拟参加本项目投标的潜在投标人须在黑龙江省政府采购网上注册登记并备案；</w:t>
      </w:r>
    </w:p>
    <w:p>
      <w:pPr>
        <w:spacing w:line="360" w:lineRule="auto"/>
        <w:ind w:firstLine="480" w:firstLineChars="200"/>
        <w:rPr>
          <w:rFonts w:ascii="宋体"/>
          <w:color w:val="auto"/>
          <w:sz w:val="24"/>
          <w:szCs w:val="24"/>
          <w:highlight w:val="none"/>
        </w:rPr>
      </w:pPr>
      <w:r>
        <w:rPr>
          <w:rFonts w:ascii="宋体" w:hAnsi="宋体"/>
          <w:color w:val="auto"/>
          <w:sz w:val="24"/>
          <w:szCs w:val="24"/>
          <w:highlight w:val="none"/>
        </w:rPr>
        <w:t>3</w:t>
      </w:r>
      <w:r>
        <w:rPr>
          <w:rFonts w:hint="eastAsia" w:ascii="宋体" w:hAnsi="宋体"/>
          <w:color w:val="auto"/>
          <w:sz w:val="24"/>
          <w:szCs w:val="24"/>
          <w:highlight w:val="none"/>
        </w:rPr>
        <w:t>、本次招标项目资格要求</w:t>
      </w:r>
    </w:p>
    <w:p>
      <w:pPr>
        <w:wordWrap w:val="0"/>
        <w:spacing w:line="360" w:lineRule="auto"/>
        <w:ind w:firstLine="480" w:firstLineChars="200"/>
        <w:rPr>
          <w:rFonts w:hint="eastAsia" w:asciiTheme="minorEastAsia" w:hAnsiTheme="minorEastAsia" w:eastAsiaTheme="minorEastAsia"/>
          <w:color w:val="auto"/>
          <w:sz w:val="24"/>
          <w:szCs w:val="24"/>
          <w:highlight w:val="none"/>
          <w:lang w:eastAsia="zh-CN"/>
        </w:rPr>
      </w:pPr>
      <w:r>
        <w:rPr>
          <w:rFonts w:ascii="宋体" w:hAnsi="宋体"/>
          <w:color w:val="auto"/>
          <w:sz w:val="24"/>
          <w:szCs w:val="24"/>
          <w:highlight w:val="none"/>
        </w:rPr>
        <w:t>3.1</w:t>
      </w:r>
      <w:r>
        <w:rPr>
          <w:rFonts w:hint="eastAsia" w:ascii="宋体" w:hAnsi="宋体"/>
          <w:color w:val="auto"/>
          <w:sz w:val="24"/>
          <w:szCs w:val="24"/>
          <w:highlight w:val="none"/>
        </w:rPr>
        <w:t>投标申请人须是在中华人民共和国境内注册的独立法人，</w:t>
      </w:r>
      <w:r>
        <w:rPr>
          <w:rFonts w:hint="eastAsia" w:asciiTheme="minorEastAsia" w:hAnsiTheme="minorEastAsia" w:eastAsiaTheme="minorEastAsia"/>
          <w:color w:val="auto"/>
          <w:sz w:val="24"/>
          <w:szCs w:val="24"/>
          <w:highlight w:val="none"/>
        </w:rPr>
        <w:t>投标申请人须同时具备建设行政主管部门核发的建筑工程施工总承包贰级及贰级以上资质和特种工程专业承包（结构补强）资质，并同时具备文物主管部门颁发的文物保护工程施工叁级及叁级以上资质</w:t>
      </w:r>
      <w:r>
        <w:rPr>
          <w:rFonts w:hint="eastAsia" w:asciiTheme="minorEastAsia" w:hAnsiTheme="minorEastAsia" w:eastAsiaTheme="minorEastAsia"/>
          <w:color w:val="auto"/>
          <w:sz w:val="24"/>
          <w:szCs w:val="24"/>
          <w:highlight w:val="none"/>
          <w:lang w:eastAsia="zh-CN"/>
        </w:rPr>
        <w:t>。</w:t>
      </w:r>
    </w:p>
    <w:p>
      <w:pPr>
        <w:wordWrap w:val="0"/>
        <w:spacing w:line="360" w:lineRule="auto"/>
        <w:ind w:firstLine="480" w:firstLineChars="200"/>
        <w:rPr>
          <w:rFonts w:hint="eastAsia" w:ascii="宋体" w:hAnsi="宋体" w:eastAsia="宋体" w:cs="Times New Roman"/>
          <w:color w:val="auto"/>
          <w:sz w:val="24"/>
          <w:szCs w:val="24"/>
          <w:highlight w:val="none"/>
          <w:lang w:eastAsia="zh-CN"/>
        </w:rPr>
      </w:pPr>
      <w:r>
        <w:rPr>
          <w:rFonts w:hint="eastAsia" w:ascii="宋体" w:hAnsi="宋体"/>
          <w:color w:val="auto"/>
          <w:sz w:val="24"/>
          <w:szCs w:val="24"/>
          <w:highlight w:val="none"/>
        </w:rPr>
        <w:t>具备有效的安全生产许可证。拟派项目经理须具备</w:t>
      </w:r>
      <w:r>
        <w:rPr>
          <w:rFonts w:hint="eastAsia" w:ascii="宋体" w:hAnsi="宋体"/>
          <w:color w:val="auto"/>
          <w:sz w:val="24"/>
          <w:szCs w:val="24"/>
          <w:highlight w:val="none"/>
          <w:lang w:eastAsia="zh-CN"/>
        </w:rPr>
        <w:t>建筑工程专业</w:t>
      </w:r>
      <w:r>
        <w:rPr>
          <w:rFonts w:hint="eastAsia" w:ascii="宋体" w:hAnsi="宋体"/>
          <w:color w:val="auto"/>
          <w:sz w:val="24"/>
          <w:szCs w:val="24"/>
          <w:highlight w:val="none"/>
        </w:rPr>
        <w:t>贰级</w:t>
      </w:r>
      <w:r>
        <w:rPr>
          <w:rFonts w:hint="eastAsia" w:asciiTheme="minorEastAsia" w:hAnsiTheme="minorEastAsia" w:eastAsiaTheme="minorEastAsia"/>
          <w:color w:val="auto"/>
          <w:sz w:val="24"/>
          <w:szCs w:val="24"/>
          <w:highlight w:val="none"/>
        </w:rPr>
        <w:t>及贰级</w:t>
      </w:r>
      <w:r>
        <w:rPr>
          <w:rFonts w:hint="eastAsia" w:ascii="宋体" w:hAnsi="宋体"/>
          <w:color w:val="auto"/>
          <w:sz w:val="24"/>
          <w:szCs w:val="24"/>
          <w:highlight w:val="none"/>
        </w:rPr>
        <w:t>以上注册建造师注册证书、具备有效的安全生产考核证，且未担任其它在建工程的项目经理；项目管理机构人员具备</w:t>
      </w:r>
      <w:r>
        <w:rPr>
          <w:rFonts w:hint="eastAsia" w:ascii="宋体" w:hAnsi="宋体"/>
          <w:color w:val="auto"/>
          <w:sz w:val="24"/>
          <w:szCs w:val="24"/>
          <w:highlight w:val="none"/>
          <w:lang w:eastAsia="zh-CN"/>
        </w:rPr>
        <w:t>建筑</w:t>
      </w:r>
      <w:r>
        <w:rPr>
          <w:rFonts w:hint="eastAsia" w:ascii="宋体" w:hAnsi="宋体"/>
          <w:color w:val="auto"/>
          <w:sz w:val="24"/>
          <w:szCs w:val="24"/>
          <w:highlight w:val="none"/>
        </w:rPr>
        <w:t>相关专业岗位证书（施工员一名、质量员一名、安全员一名（安全员须具备有效的安全生产考核证书）</w:t>
      </w:r>
      <w:r>
        <w:rPr>
          <w:rFonts w:hint="eastAsia" w:ascii="宋体" w:hAnsi="宋体" w:eastAsia="宋体" w:cs="Times New Roman"/>
          <w:color w:val="auto"/>
          <w:sz w:val="24"/>
          <w:szCs w:val="24"/>
          <w:highlight w:val="none"/>
        </w:rPr>
        <w:t>）</w:t>
      </w:r>
      <w:r>
        <w:rPr>
          <w:rFonts w:hint="eastAsia" w:ascii="宋体" w:hAnsi="宋体" w:eastAsia="宋体" w:cs="Times New Roman"/>
          <w:color w:val="auto"/>
          <w:sz w:val="24"/>
          <w:szCs w:val="24"/>
          <w:highlight w:val="none"/>
          <w:lang w:eastAsia="zh-CN"/>
        </w:rPr>
        <w:t>。</w:t>
      </w:r>
      <w:r>
        <w:rPr>
          <w:rFonts w:hint="eastAsia" w:ascii="宋体" w:hAnsi="宋体" w:eastAsia="宋体" w:cs="Times New Roman"/>
          <w:color w:val="auto"/>
          <w:sz w:val="24"/>
          <w:szCs w:val="24"/>
          <w:highlight w:val="none"/>
        </w:rPr>
        <w:t>拟派本项目的项目经理及项目班子成员提供投标企业近六个月（201</w:t>
      </w:r>
      <w:r>
        <w:rPr>
          <w:rFonts w:hint="eastAsia" w:ascii="宋体" w:hAnsi="宋体" w:eastAsia="宋体" w:cs="Times New Roman"/>
          <w:color w:val="auto"/>
          <w:sz w:val="24"/>
          <w:szCs w:val="24"/>
          <w:highlight w:val="none"/>
          <w:lang w:val="en-US" w:eastAsia="zh-CN"/>
        </w:rPr>
        <w:t>9</w:t>
      </w:r>
      <w:r>
        <w:rPr>
          <w:rFonts w:hint="eastAsia" w:ascii="宋体" w:hAnsi="宋体" w:eastAsia="宋体" w:cs="Times New Roman"/>
          <w:color w:val="auto"/>
          <w:sz w:val="24"/>
          <w:szCs w:val="24"/>
          <w:highlight w:val="none"/>
        </w:rPr>
        <w:t>年</w:t>
      </w:r>
      <w:r>
        <w:rPr>
          <w:rFonts w:hint="eastAsia" w:ascii="宋体" w:hAnsi="宋体" w:cs="Times New Roman"/>
          <w:color w:val="auto"/>
          <w:sz w:val="24"/>
          <w:szCs w:val="24"/>
          <w:highlight w:val="none"/>
          <w:lang w:val="en-US" w:eastAsia="zh-CN"/>
        </w:rPr>
        <w:t>2</w:t>
      </w:r>
      <w:r>
        <w:rPr>
          <w:rFonts w:hint="eastAsia" w:ascii="宋体" w:hAnsi="宋体" w:eastAsia="宋体" w:cs="Times New Roman"/>
          <w:color w:val="auto"/>
          <w:sz w:val="24"/>
          <w:szCs w:val="24"/>
          <w:highlight w:val="none"/>
        </w:rPr>
        <w:t>月-2019年</w:t>
      </w:r>
      <w:r>
        <w:rPr>
          <w:rFonts w:hint="eastAsia" w:ascii="宋体" w:hAnsi="宋体" w:cs="Times New Roman"/>
          <w:color w:val="auto"/>
          <w:sz w:val="24"/>
          <w:szCs w:val="24"/>
          <w:highlight w:val="none"/>
          <w:lang w:val="en-US" w:eastAsia="zh-CN"/>
        </w:rPr>
        <w:t>7</w:t>
      </w:r>
      <w:r>
        <w:rPr>
          <w:rFonts w:hint="eastAsia" w:ascii="宋体" w:hAnsi="宋体" w:eastAsia="宋体" w:cs="Times New Roman"/>
          <w:color w:val="auto"/>
          <w:sz w:val="24"/>
          <w:szCs w:val="24"/>
          <w:highlight w:val="none"/>
        </w:rPr>
        <w:t>月）缴纳养老保险缴费流水</w:t>
      </w:r>
      <w:r>
        <w:rPr>
          <w:rFonts w:hint="eastAsia" w:ascii="宋体" w:hAnsi="宋体" w:eastAsia="宋体" w:cs="Times New Roman"/>
          <w:color w:val="auto"/>
          <w:sz w:val="24"/>
          <w:szCs w:val="24"/>
          <w:highlight w:val="none"/>
          <w:lang w:eastAsia="zh-CN"/>
        </w:rPr>
        <w:t>明细</w:t>
      </w:r>
      <w:r>
        <w:rPr>
          <w:rFonts w:hint="eastAsia" w:ascii="宋体" w:hAnsi="宋体" w:eastAsia="宋体" w:cs="Times New Roman"/>
          <w:color w:val="auto"/>
          <w:sz w:val="24"/>
          <w:szCs w:val="24"/>
          <w:highlight w:val="none"/>
        </w:rPr>
        <w:t>（投标人必须提供养老保险缴费流水</w:t>
      </w:r>
      <w:r>
        <w:rPr>
          <w:rFonts w:hint="eastAsia" w:ascii="宋体" w:hAnsi="宋体" w:eastAsia="宋体" w:cs="Times New Roman"/>
          <w:color w:val="auto"/>
          <w:sz w:val="24"/>
          <w:szCs w:val="24"/>
          <w:highlight w:val="none"/>
          <w:lang w:eastAsia="zh-CN"/>
        </w:rPr>
        <w:t>明细</w:t>
      </w:r>
      <w:r>
        <w:rPr>
          <w:rFonts w:hint="eastAsia" w:ascii="宋体" w:hAnsi="宋体" w:eastAsia="宋体" w:cs="Times New Roman"/>
          <w:color w:val="auto"/>
          <w:sz w:val="24"/>
          <w:szCs w:val="24"/>
          <w:highlight w:val="none"/>
        </w:rPr>
        <w:t>查询辨别真伪的方式和配合提供相关查询所需要的材料）如网上查不到相关信息，其投标将被否决</w:t>
      </w:r>
      <w:r>
        <w:rPr>
          <w:rFonts w:hint="eastAsia" w:ascii="宋体" w:hAnsi="宋体" w:eastAsia="宋体" w:cs="Times New Roman"/>
          <w:color w:val="auto"/>
          <w:sz w:val="24"/>
          <w:szCs w:val="24"/>
          <w:highlight w:val="none"/>
          <w:lang w:eastAsia="zh-CN"/>
        </w:rPr>
        <w:t>。</w:t>
      </w:r>
    </w:p>
    <w:p>
      <w:pPr>
        <w:spacing w:line="360" w:lineRule="auto"/>
        <w:ind w:firstLine="480" w:firstLineChars="200"/>
        <w:rPr>
          <w:rFonts w:ascii="宋体" w:hAnsi="宋体"/>
          <w:sz w:val="24"/>
          <w:szCs w:val="24"/>
          <w:highlight w:val="none"/>
        </w:rPr>
      </w:pPr>
      <w:r>
        <w:rPr>
          <w:rFonts w:hint="eastAsia" w:ascii="宋体" w:hAnsi="宋体"/>
          <w:sz w:val="24"/>
          <w:szCs w:val="24"/>
          <w:highlight w:val="none"/>
        </w:rPr>
        <w:t>4、供应商参加政府采购活动近三年（2016年1月起至投标截止之日）没有重大违法记录，对列入失信被执行人、重大税收违法案件当事人名单、政府采购严重违法失信行为记录名单的供应商，不得参与政府采购活动。</w:t>
      </w:r>
    </w:p>
    <w:p>
      <w:pPr>
        <w:spacing w:line="360" w:lineRule="auto"/>
        <w:ind w:firstLine="480" w:firstLineChars="200"/>
        <w:rPr>
          <w:rFonts w:ascii="宋体" w:hAnsi="宋体"/>
          <w:sz w:val="24"/>
          <w:szCs w:val="24"/>
          <w:highlight w:val="none"/>
        </w:rPr>
      </w:pPr>
      <w:r>
        <w:rPr>
          <w:rFonts w:hint="eastAsia" w:ascii="宋体" w:hAnsi="宋体"/>
          <w:sz w:val="24"/>
          <w:szCs w:val="24"/>
          <w:highlight w:val="none"/>
        </w:rPr>
        <w:t>5、本项目不接受联合体报名。</w:t>
      </w:r>
    </w:p>
    <w:p>
      <w:pPr>
        <w:spacing w:line="360" w:lineRule="auto"/>
        <w:ind w:firstLine="480" w:firstLineChars="200"/>
        <w:rPr>
          <w:rFonts w:ascii="宋体" w:hAnsi="宋体"/>
          <w:sz w:val="24"/>
          <w:szCs w:val="24"/>
          <w:highlight w:val="none"/>
        </w:rPr>
      </w:pPr>
      <w:r>
        <w:rPr>
          <w:rFonts w:hint="eastAsia" w:ascii="宋体" w:hAnsi="宋体"/>
          <w:sz w:val="24"/>
          <w:szCs w:val="24"/>
          <w:highlight w:val="none"/>
        </w:rPr>
        <w:t>6、企业法定代表人或授权委托人须按照要求参加所有投标全过程，投标人不得委派其他人以投标代理人的名义参加投标活动，否则将被否决。</w:t>
      </w:r>
    </w:p>
    <w:p>
      <w:pPr>
        <w:spacing w:line="360" w:lineRule="auto"/>
        <w:ind w:firstLine="480" w:firstLineChars="200"/>
        <w:rPr>
          <w:rFonts w:ascii="宋体" w:hAnsi="宋体"/>
          <w:sz w:val="24"/>
          <w:szCs w:val="24"/>
          <w:highlight w:val="none"/>
        </w:rPr>
      </w:pPr>
      <w:r>
        <w:rPr>
          <w:rFonts w:hint="eastAsia" w:ascii="宋体" w:hAnsi="宋体"/>
          <w:sz w:val="24"/>
          <w:szCs w:val="24"/>
          <w:highlight w:val="none"/>
        </w:rPr>
        <w:t>7、本招标项目采用资格后审方式，主要资格审查标准、内容等详见</w:t>
      </w:r>
      <w:r>
        <w:rPr>
          <w:rFonts w:hint="eastAsia" w:ascii="宋体" w:hAnsi="宋体"/>
          <w:sz w:val="24"/>
          <w:szCs w:val="24"/>
          <w:highlight w:val="none"/>
          <w:lang w:eastAsia="zh-CN"/>
        </w:rPr>
        <w:t>竞争性磋商文件</w:t>
      </w:r>
      <w:r>
        <w:rPr>
          <w:rFonts w:hint="eastAsia" w:ascii="宋体" w:hAnsi="宋体"/>
          <w:sz w:val="24"/>
          <w:szCs w:val="24"/>
          <w:highlight w:val="none"/>
        </w:rPr>
        <w:t>，只有资格审查合格的供应商才有可能被授予合同。</w:t>
      </w:r>
    </w:p>
    <w:p>
      <w:pPr>
        <w:spacing w:line="360" w:lineRule="auto"/>
        <w:ind w:firstLine="480" w:firstLineChars="200"/>
        <w:rPr>
          <w:rFonts w:ascii="宋体" w:hAnsi="宋体"/>
          <w:sz w:val="24"/>
          <w:szCs w:val="24"/>
          <w:highlight w:val="none"/>
        </w:rPr>
      </w:pPr>
      <w:r>
        <w:rPr>
          <w:rFonts w:hint="eastAsia" w:ascii="宋体" w:hAnsi="宋体"/>
          <w:sz w:val="24"/>
          <w:szCs w:val="24"/>
          <w:highlight w:val="none"/>
        </w:rPr>
        <w:t>8、本项目招标过程中如出现有弄虚作假、恶意投诉和无理缠诉行为的供应商，将严格按规定处理。供应商应配合采购人（采购代理机构）对其提供材料进行核实，如有提供虚假材料的，采购人有权拒绝其投标。</w:t>
      </w:r>
    </w:p>
    <w:p>
      <w:pPr>
        <w:spacing w:line="360" w:lineRule="auto"/>
        <w:ind w:firstLine="480" w:firstLineChars="200"/>
        <w:rPr>
          <w:rFonts w:ascii="仿宋" w:hAnsi="仿宋" w:eastAsia="仿宋" w:cs="仿宋"/>
          <w:sz w:val="32"/>
          <w:szCs w:val="32"/>
          <w:highlight w:val="none"/>
        </w:rPr>
      </w:pPr>
      <w:r>
        <w:rPr>
          <w:rFonts w:hint="eastAsia" w:ascii="宋体" w:hAnsi="宋体"/>
          <w:sz w:val="24"/>
          <w:szCs w:val="24"/>
          <w:highlight w:val="none"/>
        </w:rPr>
        <w:t>9、相关法律法规及</w:t>
      </w:r>
      <w:r>
        <w:rPr>
          <w:rFonts w:hint="eastAsia" w:ascii="宋体" w:hAnsi="宋体"/>
          <w:sz w:val="24"/>
          <w:szCs w:val="24"/>
          <w:highlight w:val="none"/>
          <w:lang w:eastAsia="zh-CN"/>
        </w:rPr>
        <w:t>竞争性磋商文件</w:t>
      </w:r>
      <w:r>
        <w:rPr>
          <w:rFonts w:hint="eastAsia" w:ascii="宋体" w:hAnsi="宋体"/>
          <w:sz w:val="24"/>
          <w:szCs w:val="24"/>
          <w:highlight w:val="none"/>
        </w:rPr>
        <w:t>中规定的其他要求。</w:t>
      </w:r>
    </w:p>
    <w:p>
      <w:pPr>
        <w:spacing w:line="360" w:lineRule="auto"/>
        <w:ind w:firstLine="480" w:firstLineChars="200"/>
        <w:rPr>
          <w:rFonts w:ascii="宋体"/>
          <w:sz w:val="24"/>
          <w:szCs w:val="24"/>
          <w:highlight w:val="none"/>
        </w:rPr>
      </w:pPr>
      <w:r>
        <w:rPr>
          <w:rFonts w:hint="eastAsia" w:ascii="宋体" w:hAnsi="宋体"/>
          <w:sz w:val="24"/>
          <w:szCs w:val="24"/>
          <w:highlight w:val="none"/>
        </w:rPr>
        <w:t>10、投标人不得出现被相关部门列入最新的“限制从业招投标企业名单”。近三年内在相关行政主管部门及官方网站查有重大质量、安全问题、不良行为记录、行贿犯罪记录的，将拒绝其投标。</w:t>
      </w:r>
    </w:p>
    <w:p>
      <w:pPr>
        <w:spacing w:line="360" w:lineRule="auto"/>
        <w:ind w:firstLine="480" w:firstLineChars="200"/>
        <w:rPr>
          <w:rFonts w:ascii="宋体"/>
          <w:sz w:val="24"/>
          <w:szCs w:val="24"/>
          <w:highlight w:val="none"/>
        </w:rPr>
      </w:pPr>
      <w:r>
        <w:rPr>
          <w:rFonts w:hint="eastAsia" w:ascii="宋体" w:hAnsi="宋体"/>
          <w:sz w:val="24"/>
          <w:szCs w:val="24"/>
          <w:highlight w:val="none"/>
        </w:rPr>
        <w:t>11、与招标人存在利害关系可能影响招标公正性的法人、其他组织或者个人，不得参加投标；单位负责人为同一人或者存在控股、管理关系的不同单位，不得同时参加同一标段投标或者未划分标段的同一招标项目投标；同一集团公司具有独立法人的子公司同时参加同一标段投标或者未划分标段的同一招标项目投标时最多不得超过两家（以投标登记的先后顺序为准）。</w:t>
      </w:r>
    </w:p>
    <w:p>
      <w:pPr>
        <w:wordWrap w:val="0"/>
        <w:spacing w:line="360" w:lineRule="auto"/>
        <w:ind w:firstLine="480" w:firstLineChars="200"/>
        <w:rPr>
          <w:rFonts w:ascii="宋体" w:hAnsi="宋体" w:cs="宋体"/>
          <w:sz w:val="24"/>
          <w:szCs w:val="24"/>
          <w:highlight w:val="none"/>
        </w:rPr>
      </w:pPr>
      <w:r>
        <w:rPr>
          <w:rFonts w:hint="eastAsia" w:ascii="宋体" w:hAnsi="宋体"/>
          <w:sz w:val="24"/>
          <w:szCs w:val="24"/>
          <w:highlight w:val="none"/>
        </w:rPr>
        <w:t>12、</w:t>
      </w:r>
      <w:r>
        <w:rPr>
          <w:rFonts w:hint="eastAsia" w:ascii="宋体" w:hAnsi="宋体" w:cs="宋体"/>
          <w:sz w:val="24"/>
          <w:szCs w:val="24"/>
          <w:highlight w:val="none"/>
        </w:rPr>
        <w:t>本次招标信誉要求：</w:t>
      </w:r>
    </w:p>
    <w:p>
      <w:pPr>
        <w:wordWrap w:val="0"/>
        <w:spacing w:line="360" w:lineRule="auto"/>
        <w:ind w:firstLine="480" w:firstLineChars="200"/>
        <w:rPr>
          <w:rFonts w:ascii="宋体" w:hAnsi="宋体" w:cs="宋体"/>
          <w:sz w:val="24"/>
          <w:szCs w:val="24"/>
          <w:highlight w:val="none"/>
        </w:rPr>
      </w:pPr>
      <w:r>
        <w:rPr>
          <w:rFonts w:hint="eastAsia" w:ascii="宋体" w:hAnsi="宋体" w:cs="宋体"/>
          <w:sz w:val="24"/>
          <w:szCs w:val="24"/>
          <w:highlight w:val="none"/>
        </w:rPr>
        <w:t>（1）投标人不得被最高人民法院在"信用中国"网站（www.creditchina.gov.cn）信用服务中列入失信被执行人名单（提供投标人本企业、法定代表人、拟派项目负责人在"信用中国"网站中未被列入失信被执行人名单的网页截图。查询时间不得早于招标公告发布之日）；</w:t>
      </w:r>
    </w:p>
    <w:p>
      <w:pPr>
        <w:snapToGrid w:val="0"/>
        <w:spacing w:line="360" w:lineRule="auto"/>
        <w:ind w:left="-53" w:leftChars="-25" w:firstLine="537" w:firstLineChars="224"/>
        <w:rPr>
          <w:rFonts w:ascii="宋体" w:hAnsi="宋体"/>
          <w:sz w:val="24"/>
          <w:szCs w:val="24"/>
          <w:highlight w:val="none"/>
        </w:rPr>
      </w:pPr>
      <w:r>
        <w:rPr>
          <w:rFonts w:hint="eastAsia" w:ascii="宋体" w:hAnsi="宋体" w:cs="宋体"/>
          <w:sz w:val="24"/>
          <w:szCs w:val="24"/>
          <w:highlight w:val="none"/>
        </w:rPr>
        <w:t>（2）在近三年内投标人及其法定代表人、拟委任的项目负责人均无行贿犯罪行为（提供中国裁判文书网（查询方式：中国裁判文书网首页-高级检索-案由-刑事案由-贪污贿赂-行贿）（http：//www.court.gov.cn/wenshu.html）出具的查询记录证明），如果没有行贿记录，网站会显示"无符合条件的数据"，如果有行贿记录，网站会有结果展示，需要下载相关档案，就要注册一个账号即可下载，如有行贿记录的，不得参与本项目投标。查询时间不得早于招标公告发布之日）。</w:t>
      </w:r>
    </w:p>
    <w:p>
      <w:pPr>
        <w:spacing w:line="360" w:lineRule="auto"/>
        <w:ind w:firstLine="480" w:firstLineChars="200"/>
        <w:rPr>
          <w:rFonts w:ascii="宋体" w:hAnsi="宋体" w:cs="宋体"/>
          <w:sz w:val="24"/>
          <w:szCs w:val="21"/>
          <w:highlight w:val="none"/>
        </w:rPr>
      </w:pPr>
      <w:r>
        <w:rPr>
          <w:rFonts w:hint="eastAsia" w:ascii="宋体" w:hAnsi="宋体"/>
          <w:sz w:val="24"/>
          <w:szCs w:val="24"/>
          <w:highlight w:val="none"/>
        </w:rPr>
        <w:t>七、获取</w:t>
      </w:r>
      <w:r>
        <w:rPr>
          <w:rFonts w:hint="eastAsia" w:ascii="宋体" w:hAnsi="宋体"/>
          <w:sz w:val="24"/>
          <w:szCs w:val="24"/>
          <w:highlight w:val="none"/>
          <w:lang w:eastAsia="zh-CN"/>
        </w:rPr>
        <w:t>竞争性磋商文件</w:t>
      </w:r>
      <w:r>
        <w:rPr>
          <w:rFonts w:hint="eastAsia" w:ascii="宋体" w:hAnsi="宋体"/>
          <w:sz w:val="24"/>
          <w:szCs w:val="24"/>
          <w:highlight w:val="none"/>
        </w:rPr>
        <w:t>方式、时间及地点：</w:t>
      </w:r>
      <w:r>
        <w:rPr>
          <w:rFonts w:hint="eastAsia" w:ascii="宋体" w:hAnsi="宋体" w:cs="宋体"/>
          <w:sz w:val="24"/>
          <w:szCs w:val="21"/>
          <w:highlight w:val="none"/>
          <w:shd w:val="clear" w:color="auto" w:fill="FFFFFF"/>
        </w:rPr>
        <w:t> </w:t>
      </w:r>
    </w:p>
    <w:p>
      <w:pPr>
        <w:shd w:val="clear" w:color="auto" w:fill="FFFFFF"/>
        <w:spacing w:line="360" w:lineRule="auto"/>
        <w:rPr>
          <w:rFonts w:ascii="宋体" w:hAnsi="宋体" w:cs="宋体"/>
          <w:sz w:val="24"/>
          <w:szCs w:val="21"/>
          <w:highlight w:val="none"/>
        </w:rPr>
      </w:pPr>
      <w:r>
        <w:rPr>
          <w:rFonts w:hint="eastAsia" w:ascii="宋体" w:hAnsi="宋体" w:cs="宋体"/>
          <w:sz w:val="24"/>
          <w:szCs w:val="21"/>
          <w:highlight w:val="none"/>
        </w:rPr>
        <w:t>1.网上报名：有意向参加本项目招标活动的潜在供应商请到黑龙江省政府采购网（道</w:t>
      </w:r>
      <w:r>
        <w:rPr>
          <w:rFonts w:hint="eastAsia" w:ascii="宋体" w:hAnsi="宋体" w:cs="宋体"/>
          <w:sz w:val="24"/>
          <w:szCs w:val="21"/>
          <w:highlight w:val="none"/>
          <w:lang w:eastAsia="zh-CN"/>
        </w:rPr>
        <w:t>外</w:t>
      </w:r>
      <w:r>
        <w:rPr>
          <w:rFonts w:hint="eastAsia" w:ascii="宋体" w:hAnsi="宋体" w:cs="宋体"/>
          <w:sz w:val="24"/>
          <w:szCs w:val="21"/>
          <w:highlight w:val="none"/>
        </w:rPr>
        <w:t>区）进行网上报名，（凭用户名和密码登录，点击“网上报名”，选定拟参与项目“进入”，选择投报采购包点击“报名”，则报名成功。）报名时间：</w:t>
      </w:r>
      <w:r>
        <w:rPr>
          <w:rFonts w:hint="eastAsia" w:ascii="宋体" w:hAnsi="宋体" w:cs="宋体"/>
          <w:sz w:val="24"/>
          <w:szCs w:val="21"/>
          <w:highlight w:val="none"/>
          <w:lang w:eastAsia="zh-CN"/>
        </w:rPr>
        <w:t>2019年9月23日至2019年9月27日</w:t>
      </w:r>
      <w:r>
        <w:rPr>
          <w:rFonts w:hint="eastAsia" w:ascii="宋体" w:hAnsi="宋体" w:cs="宋体"/>
          <w:sz w:val="24"/>
          <w:szCs w:val="21"/>
          <w:highlight w:val="none"/>
        </w:rPr>
        <w:t>（国家法定节假日和公休日除外）。</w:t>
      </w:r>
    </w:p>
    <w:p>
      <w:pPr>
        <w:spacing w:line="360" w:lineRule="auto"/>
        <w:ind w:firstLine="480" w:firstLineChars="200"/>
        <w:rPr>
          <w:rFonts w:ascii="宋体" w:hAnsi="宋体"/>
          <w:sz w:val="24"/>
          <w:szCs w:val="24"/>
          <w:highlight w:val="none"/>
        </w:rPr>
      </w:pPr>
      <w:r>
        <w:rPr>
          <w:rFonts w:hint="eastAsia" w:ascii="宋体" w:hAnsi="宋体" w:cs="宋体"/>
          <w:sz w:val="24"/>
          <w:szCs w:val="21"/>
          <w:highlight w:val="none"/>
        </w:rPr>
        <w:t>2、投标人网上报名成功后可于：</w:t>
      </w:r>
      <w:r>
        <w:rPr>
          <w:rFonts w:hint="eastAsia" w:ascii="宋体" w:hAnsi="宋体" w:cs="宋体"/>
          <w:sz w:val="24"/>
          <w:szCs w:val="21"/>
          <w:highlight w:val="none"/>
          <w:lang w:eastAsia="zh-CN"/>
        </w:rPr>
        <w:t>2019年9月23日至2019年9月27日</w:t>
      </w:r>
      <w:r>
        <w:rPr>
          <w:rFonts w:hint="eastAsia" w:ascii="宋体" w:hAnsi="宋体" w:cs="宋体"/>
          <w:sz w:val="24"/>
          <w:szCs w:val="21"/>
          <w:highlight w:val="none"/>
        </w:rPr>
        <w:t>每日上午9时至11时30分，下午14时至16时（北京时间、国家法定节假日和公休日除外）到哈尔滨鸿翔建设工程项目管理有限公司（哈尔滨市道里区爱建路8号515室）购买</w:t>
      </w:r>
      <w:r>
        <w:rPr>
          <w:rFonts w:hint="eastAsia" w:ascii="宋体" w:hAnsi="宋体" w:cs="宋体"/>
          <w:sz w:val="24"/>
          <w:szCs w:val="21"/>
          <w:highlight w:val="none"/>
          <w:lang w:eastAsia="zh-CN"/>
        </w:rPr>
        <w:t>竞争性磋商文件</w:t>
      </w:r>
      <w:r>
        <w:rPr>
          <w:rFonts w:hint="eastAsia" w:ascii="宋体" w:hAnsi="宋体" w:cs="宋体"/>
          <w:sz w:val="24"/>
          <w:szCs w:val="21"/>
          <w:highlight w:val="none"/>
        </w:rPr>
        <w:t>。只有网报成功并购买</w:t>
      </w:r>
      <w:r>
        <w:rPr>
          <w:rFonts w:hint="eastAsia" w:ascii="宋体" w:hAnsi="宋体"/>
          <w:sz w:val="24"/>
          <w:szCs w:val="24"/>
          <w:highlight w:val="none"/>
          <w:lang w:eastAsia="zh-CN"/>
        </w:rPr>
        <w:t>竞争性磋商文件</w:t>
      </w:r>
      <w:r>
        <w:rPr>
          <w:rFonts w:hint="eastAsia" w:ascii="宋体" w:hAnsi="宋体" w:cs="宋体"/>
          <w:sz w:val="24"/>
          <w:szCs w:val="21"/>
          <w:highlight w:val="none"/>
        </w:rPr>
        <w:t>的投标人方可参与本项目投标；</w:t>
      </w:r>
    </w:p>
    <w:p>
      <w:pPr>
        <w:spacing w:line="360" w:lineRule="auto"/>
        <w:ind w:firstLine="480" w:firstLineChars="200"/>
        <w:rPr>
          <w:rFonts w:ascii="宋体"/>
          <w:sz w:val="24"/>
          <w:szCs w:val="24"/>
          <w:highlight w:val="none"/>
        </w:rPr>
      </w:pPr>
      <w:r>
        <w:rPr>
          <w:rFonts w:hint="eastAsia" w:ascii="宋体" w:hAnsi="宋体"/>
          <w:sz w:val="24"/>
          <w:szCs w:val="24"/>
          <w:highlight w:val="none"/>
        </w:rPr>
        <w:t>八、</w:t>
      </w:r>
      <w:r>
        <w:rPr>
          <w:rFonts w:hint="eastAsia" w:ascii="宋体" w:hAnsi="宋体" w:cs="宋体"/>
          <w:sz w:val="24"/>
          <w:szCs w:val="21"/>
          <w:highlight w:val="none"/>
          <w:lang w:eastAsia="zh-CN"/>
        </w:rPr>
        <w:t>竞争性磋商文件</w:t>
      </w:r>
      <w:r>
        <w:rPr>
          <w:rFonts w:hint="eastAsia" w:ascii="宋体" w:hAnsi="宋体"/>
          <w:sz w:val="24"/>
          <w:szCs w:val="24"/>
          <w:highlight w:val="none"/>
        </w:rPr>
        <w:t>售价：</w:t>
      </w:r>
      <w:r>
        <w:rPr>
          <w:rFonts w:hint="eastAsia" w:ascii="宋体" w:hAnsi="宋体" w:cs="宋体"/>
          <w:sz w:val="24"/>
          <w:szCs w:val="21"/>
          <w:highlight w:val="none"/>
          <w:lang w:eastAsia="zh-CN"/>
        </w:rPr>
        <w:t>竞争性磋商文件</w:t>
      </w:r>
      <w:r>
        <w:rPr>
          <w:rFonts w:hint="eastAsia" w:ascii="宋体" w:hAnsi="宋体"/>
          <w:sz w:val="24"/>
          <w:szCs w:val="24"/>
          <w:highlight w:val="none"/>
        </w:rPr>
        <w:t>每套售价</w:t>
      </w:r>
      <w:r>
        <w:rPr>
          <w:rFonts w:ascii="宋体" w:hAnsi="宋体"/>
          <w:sz w:val="24"/>
          <w:szCs w:val="24"/>
          <w:highlight w:val="none"/>
        </w:rPr>
        <w:t>500</w:t>
      </w:r>
      <w:r>
        <w:rPr>
          <w:rFonts w:hint="eastAsia" w:ascii="宋体" w:hAnsi="宋体"/>
          <w:sz w:val="24"/>
          <w:szCs w:val="24"/>
          <w:highlight w:val="none"/>
        </w:rPr>
        <w:t>元人民币，售后不退。邮购</w:t>
      </w:r>
      <w:r>
        <w:rPr>
          <w:rFonts w:hint="eastAsia" w:ascii="宋体" w:hAnsi="宋体"/>
          <w:sz w:val="24"/>
          <w:szCs w:val="24"/>
          <w:highlight w:val="none"/>
          <w:lang w:eastAsia="zh-CN"/>
        </w:rPr>
        <w:t>竞争性磋商文件</w:t>
      </w:r>
      <w:r>
        <w:rPr>
          <w:rFonts w:hint="eastAsia" w:ascii="宋体" w:hAnsi="宋体"/>
          <w:sz w:val="24"/>
          <w:szCs w:val="24"/>
          <w:highlight w:val="none"/>
        </w:rPr>
        <w:t>的，邮费由投标人自付。招标人在收到单位介绍信后</w:t>
      </w:r>
      <w:r>
        <w:rPr>
          <w:rFonts w:ascii="宋体" w:hAnsi="宋体"/>
          <w:sz w:val="24"/>
          <w:szCs w:val="24"/>
          <w:highlight w:val="none"/>
        </w:rPr>
        <w:t>3</w:t>
      </w:r>
      <w:r>
        <w:rPr>
          <w:rFonts w:hint="eastAsia" w:ascii="宋体" w:hAnsi="宋体"/>
          <w:sz w:val="24"/>
          <w:szCs w:val="24"/>
          <w:highlight w:val="none"/>
        </w:rPr>
        <w:t>日内寄送。</w:t>
      </w:r>
    </w:p>
    <w:p>
      <w:pPr>
        <w:spacing w:line="360" w:lineRule="auto"/>
        <w:ind w:firstLine="480" w:firstLineChars="200"/>
        <w:rPr>
          <w:rFonts w:ascii="宋体"/>
          <w:sz w:val="24"/>
          <w:szCs w:val="24"/>
          <w:highlight w:val="none"/>
        </w:rPr>
      </w:pPr>
      <w:r>
        <w:rPr>
          <w:rFonts w:hint="eastAsia" w:ascii="宋体" w:hAnsi="宋体"/>
          <w:sz w:val="24"/>
          <w:szCs w:val="24"/>
          <w:highlight w:val="none"/>
        </w:rPr>
        <w:t>九、投标截止时间及开标时间：详见</w:t>
      </w:r>
      <w:r>
        <w:rPr>
          <w:rFonts w:hint="eastAsia" w:ascii="宋体" w:hAnsi="宋体"/>
          <w:sz w:val="24"/>
          <w:szCs w:val="24"/>
          <w:highlight w:val="none"/>
          <w:lang w:eastAsia="zh-CN"/>
        </w:rPr>
        <w:t>竞争性磋商文件</w:t>
      </w:r>
      <w:r>
        <w:rPr>
          <w:rFonts w:hint="eastAsia" w:ascii="宋体" w:hAnsi="宋体"/>
          <w:sz w:val="24"/>
          <w:szCs w:val="24"/>
          <w:highlight w:val="none"/>
        </w:rPr>
        <w:t>。投标人应在此时间前将密封的投标文件送达</w:t>
      </w:r>
      <w:r>
        <w:rPr>
          <w:rFonts w:hint="eastAsia" w:asciiTheme="minorEastAsia" w:hAnsiTheme="minorEastAsia" w:eastAsiaTheme="minorEastAsia" w:cstheme="minorEastAsia"/>
          <w:sz w:val="24"/>
          <w:szCs w:val="24"/>
          <w:highlight w:val="none"/>
        </w:rPr>
        <w:t>哈尔滨市道里区松发街200号河松小区402栋2楼</w:t>
      </w:r>
      <w:r>
        <w:rPr>
          <w:rFonts w:hint="eastAsia" w:ascii="宋体" w:hAnsi="宋体"/>
          <w:sz w:val="24"/>
          <w:szCs w:val="24"/>
          <w:highlight w:val="none"/>
        </w:rPr>
        <w:t>开标室，逾期送达的或不符合规定的投标文件将被拒绝接受。</w:t>
      </w:r>
    </w:p>
    <w:p>
      <w:pPr>
        <w:spacing w:line="360" w:lineRule="auto"/>
        <w:ind w:firstLine="480" w:firstLineChars="200"/>
        <w:rPr>
          <w:rFonts w:ascii="宋体"/>
          <w:sz w:val="24"/>
          <w:szCs w:val="24"/>
          <w:highlight w:val="none"/>
        </w:rPr>
      </w:pPr>
      <w:r>
        <w:rPr>
          <w:rFonts w:hint="eastAsia" w:ascii="宋体" w:hAnsi="宋体"/>
          <w:sz w:val="24"/>
          <w:szCs w:val="24"/>
          <w:highlight w:val="none"/>
        </w:rPr>
        <w:t>十、发布公告的媒介：</w:t>
      </w:r>
    </w:p>
    <w:p>
      <w:pPr>
        <w:shd w:val="clear" w:color="auto" w:fill="FFFFFF"/>
        <w:spacing w:line="360" w:lineRule="auto"/>
        <w:ind w:firstLine="480" w:firstLineChars="200"/>
        <w:rPr>
          <w:rFonts w:ascii="宋体" w:hAnsi="宋体" w:cs="宋体"/>
          <w:sz w:val="24"/>
          <w:szCs w:val="21"/>
          <w:highlight w:val="none"/>
          <w:shd w:val="clear" w:color="auto" w:fill="FFFFFF"/>
        </w:rPr>
      </w:pPr>
      <w:r>
        <w:rPr>
          <w:rFonts w:hint="eastAsia" w:ascii="宋体" w:hAnsi="宋体" w:cs="宋体"/>
          <w:sz w:val="24"/>
          <w:szCs w:val="21"/>
          <w:highlight w:val="none"/>
          <w:shd w:val="clear" w:color="auto" w:fill="FFFFFF"/>
        </w:rPr>
        <w:t>中国政府采购网（&lt;http://www.ccgp.gov.cn/&gt;）</w:t>
      </w:r>
    </w:p>
    <w:p>
      <w:pPr>
        <w:shd w:val="clear" w:color="auto" w:fill="FFFFFF"/>
        <w:spacing w:line="360" w:lineRule="auto"/>
        <w:ind w:firstLine="480" w:firstLineChars="200"/>
        <w:rPr>
          <w:rFonts w:ascii="宋体" w:hAnsi="宋体" w:cs="宋体"/>
          <w:sz w:val="24"/>
          <w:szCs w:val="21"/>
          <w:highlight w:val="none"/>
          <w:shd w:val="clear" w:color="auto" w:fill="FFFFFF"/>
        </w:rPr>
      </w:pPr>
      <w:r>
        <w:rPr>
          <w:rFonts w:hint="eastAsia" w:ascii="宋体" w:hAnsi="宋体" w:cs="宋体"/>
          <w:sz w:val="24"/>
          <w:szCs w:val="21"/>
          <w:highlight w:val="none"/>
          <w:shd w:val="clear" w:color="auto" w:fill="FFFFFF"/>
        </w:rPr>
        <w:t>黑龙江省政府采购网（&lt;http://www.hljcg.gov.cn/index.jsp&gt;）上发布。</w:t>
      </w:r>
    </w:p>
    <w:p>
      <w:pPr>
        <w:spacing w:line="360" w:lineRule="auto"/>
        <w:ind w:firstLine="480" w:firstLineChars="200"/>
        <w:rPr>
          <w:rFonts w:ascii="宋体"/>
          <w:sz w:val="24"/>
          <w:szCs w:val="24"/>
          <w:highlight w:val="none"/>
        </w:rPr>
      </w:pPr>
      <w:r>
        <w:rPr>
          <w:rFonts w:hint="eastAsia" w:ascii="宋体" w:hAnsi="宋体"/>
          <w:sz w:val="24"/>
          <w:szCs w:val="24"/>
          <w:highlight w:val="none"/>
        </w:rPr>
        <w:t>十一、其他</w:t>
      </w:r>
    </w:p>
    <w:p>
      <w:pPr>
        <w:spacing w:line="360" w:lineRule="auto"/>
        <w:ind w:firstLine="480" w:firstLineChars="200"/>
        <w:rPr>
          <w:rFonts w:ascii="宋体" w:hAnsi="宋体"/>
          <w:sz w:val="24"/>
          <w:szCs w:val="24"/>
          <w:highlight w:val="none"/>
        </w:rPr>
      </w:pPr>
      <w:r>
        <w:rPr>
          <w:rFonts w:hint="eastAsia" w:asciiTheme="minorEastAsia" w:hAnsiTheme="minorEastAsia" w:eastAsiaTheme="minorEastAsia" w:cstheme="minorEastAsia"/>
          <w:sz w:val="24"/>
          <w:szCs w:val="24"/>
          <w:highlight w:val="none"/>
        </w:rPr>
        <w:t>1、</w:t>
      </w:r>
      <w:r>
        <w:rPr>
          <w:rFonts w:hint="eastAsia" w:ascii="宋体" w:hAnsi="宋体" w:cs="宋体"/>
          <w:sz w:val="24"/>
          <w:szCs w:val="21"/>
          <w:highlight w:val="none"/>
          <w:shd w:val="clear" w:color="auto" w:fill="FFFFFF"/>
        </w:rPr>
        <w:t>根据《中华人民共和国招标投标法实施条例》有关规定，潜在投标人或者其他利害关系人对本招标公告有异议的，应当在投标登记受理期间以书面形式向采购人提出，书面异议材料应由法定代表人或授权委托代理人签字并加盖单位公章，采购人将在收到异议之日起3日内作出答复。潜在投标人或者其他利害关系人捏造事实、伪造材料进行异议和恶意缠诉的，将严格按照国家及省市有关规定严肃处理，给他人造成损失的，依法承担赔偿责任。</w:t>
      </w:r>
    </w:p>
    <w:p>
      <w:pPr>
        <w:shd w:val="clear" w:color="auto" w:fill="FFFFFF"/>
        <w:spacing w:line="360" w:lineRule="auto"/>
        <w:rPr>
          <w:rFonts w:ascii="宋体" w:hAnsi="宋体" w:cs="宋体"/>
          <w:sz w:val="24"/>
          <w:szCs w:val="21"/>
          <w:highlight w:val="none"/>
        </w:rPr>
      </w:pPr>
      <w:r>
        <w:rPr>
          <w:rFonts w:hint="eastAsia" w:ascii="宋体" w:hAnsi="宋体"/>
          <w:sz w:val="24"/>
          <w:szCs w:val="24"/>
          <w:highlight w:val="none"/>
        </w:rPr>
        <w:t>十二、</w:t>
      </w:r>
      <w:r>
        <w:rPr>
          <w:rFonts w:hint="eastAsia" w:ascii="宋体" w:hAnsi="宋体" w:cs="宋体"/>
          <w:sz w:val="24"/>
          <w:szCs w:val="21"/>
          <w:highlight w:val="none"/>
          <w:shd w:val="clear" w:color="auto" w:fill="FFFFFF"/>
        </w:rPr>
        <w:t>联系方式</w:t>
      </w:r>
    </w:p>
    <w:p>
      <w:pPr>
        <w:shd w:val="clear" w:color="auto" w:fill="FFFFFF"/>
        <w:spacing w:line="360" w:lineRule="auto"/>
        <w:rPr>
          <w:rFonts w:hint="eastAsia" w:ascii="宋体" w:hAnsi="宋体" w:eastAsia="宋体" w:cs="宋体"/>
          <w:sz w:val="24"/>
          <w:szCs w:val="21"/>
          <w:highlight w:val="none"/>
          <w:shd w:val="clear" w:color="auto" w:fill="FFFFFF"/>
          <w:lang w:eastAsia="zh-CN"/>
        </w:rPr>
      </w:pPr>
      <w:r>
        <w:rPr>
          <w:rFonts w:hint="eastAsia" w:ascii="宋体" w:hAnsi="宋体" w:cs="宋体"/>
          <w:sz w:val="24"/>
          <w:szCs w:val="21"/>
          <w:highlight w:val="none"/>
          <w:shd w:val="clear" w:color="auto" w:fill="FFFFFF"/>
        </w:rPr>
        <w:t>采购人：</w:t>
      </w:r>
      <w:r>
        <w:rPr>
          <w:rFonts w:hint="eastAsia" w:ascii="宋体" w:hAnsi="宋体" w:cs="宋体"/>
          <w:sz w:val="24"/>
          <w:szCs w:val="21"/>
          <w:highlight w:val="none"/>
          <w:shd w:val="clear" w:color="auto" w:fill="FFFFFF"/>
          <w:lang w:eastAsia="zh-CN"/>
        </w:rPr>
        <w:t>哈尔滨市第十二中学校</w:t>
      </w:r>
    </w:p>
    <w:p>
      <w:pPr>
        <w:shd w:val="clear" w:color="auto" w:fill="FFFFFF"/>
        <w:spacing w:line="360" w:lineRule="auto"/>
        <w:rPr>
          <w:rFonts w:hint="eastAsia" w:ascii="宋体" w:hAnsi="宋体" w:eastAsia="宋体" w:cs="宋体"/>
          <w:sz w:val="24"/>
          <w:szCs w:val="21"/>
          <w:highlight w:val="none"/>
          <w:shd w:val="clear" w:color="auto" w:fill="FFFFFF"/>
          <w:lang w:eastAsia="zh-CN"/>
        </w:rPr>
      </w:pPr>
      <w:r>
        <w:rPr>
          <w:rFonts w:hint="eastAsia" w:ascii="宋体" w:hAnsi="宋体" w:cs="宋体"/>
          <w:sz w:val="24"/>
          <w:szCs w:val="21"/>
          <w:highlight w:val="none"/>
          <w:shd w:val="clear" w:color="auto" w:fill="FFFFFF"/>
        </w:rPr>
        <w:t>地  址：</w:t>
      </w:r>
      <w:r>
        <w:rPr>
          <w:rFonts w:hint="eastAsia" w:ascii="宋体" w:hAnsi="宋体" w:cs="宋体"/>
          <w:sz w:val="24"/>
          <w:szCs w:val="21"/>
          <w:highlight w:val="none"/>
          <w:shd w:val="clear" w:color="auto" w:fill="FFFFFF"/>
          <w:lang w:eastAsia="zh-CN"/>
        </w:rPr>
        <w:t>哈尔滨市道外区宏伟路28号</w:t>
      </w:r>
    </w:p>
    <w:p>
      <w:pPr>
        <w:shd w:val="clear" w:color="auto" w:fill="FFFFFF"/>
        <w:spacing w:line="360" w:lineRule="auto"/>
        <w:rPr>
          <w:rFonts w:hint="eastAsia" w:ascii="宋体" w:hAnsi="宋体" w:eastAsia="宋体" w:cs="宋体"/>
          <w:sz w:val="24"/>
          <w:szCs w:val="21"/>
          <w:highlight w:val="none"/>
          <w:shd w:val="clear" w:color="auto" w:fill="FFFFFF"/>
          <w:lang w:eastAsia="zh-CN"/>
        </w:rPr>
      </w:pPr>
      <w:r>
        <w:rPr>
          <w:rFonts w:hint="eastAsia" w:ascii="宋体" w:hAnsi="宋体" w:cs="宋体"/>
          <w:sz w:val="24"/>
          <w:szCs w:val="21"/>
          <w:highlight w:val="none"/>
          <w:shd w:val="clear" w:color="auto" w:fill="FFFFFF"/>
        </w:rPr>
        <w:t>联系人：马兴双</w:t>
      </w:r>
    </w:p>
    <w:p>
      <w:pPr>
        <w:shd w:val="clear" w:color="auto" w:fill="FFFFFF"/>
        <w:spacing w:line="360" w:lineRule="auto"/>
        <w:rPr>
          <w:rFonts w:hint="eastAsia" w:ascii="宋体" w:hAnsi="宋体" w:cs="宋体"/>
          <w:sz w:val="24"/>
          <w:szCs w:val="21"/>
          <w:highlight w:val="none"/>
          <w:shd w:val="clear" w:color="auto" w:fill="FFFFFF"/>
          <w:lang w:val="en-US" w:eastAsia="zh-CN"/>
        </w:rPr>
      </w:pPr>
      <w:r>
        <w:rPr>
          <w:rFonts w:hint="eastAsia" w:ascii="宋体" w:hAnsi="宋体" w:cs="宋体"/>
          <w:sz w:val="24"/>
          <w:szCs w:val="21"/>
          <w:highlight w:val="none"/>
          <w:shd w:val="clear" w:color="auto" w:fill="FFFFFF"/>
        </w:rPr>
        <w:t>联系电话：0451-57632538</w:t>
      </w:r>
    </w:p>
    <w:p>
      <w:pPr>
        <w:shd w:val="clear" w:color="auto" w:fill="FFFFFF"/>
        <w:spacing w:line="360" w:lineRule="auto"/>
        <w:rPr>
          <w:rFonts w:hint="default" w:ascii="宋体" w:hAnsi="宋体" w:cs="宋体"/>
          <w:sz w:val="24"/>
          <w:szCs w:val="21"/>
          <w:highlight w:val="none"/>
          <w:shd w:val="clear" w:color="auto" w:fill="FFFFFF"/>
          <w:lang w:val="en-US" w:eastAsia="zh-CN"/>
        </w:rPr>
      </w:pPr>
    </w:p>
    <w:p>
      <w:pPr>
        <w:shd w:val="clear" w:color="auto" w:fill="FFFFFF"/>
        <w:spacing w:line="360" w:lineRule="auto"/>
        <w:rPr>
          <w:rFonts w:ascii="宋体" w:hAnsi="宋体" w:cs="宋体"/>
          <w:sz w:val="24"/>
          <w:szCs w:val="21"/>
          <w:highlight w:val="none"/>
          <w:shd w:val="clear" w:color="auto" w:fill="FFFFFF"/>
        </w:rPr>
      </w:pPr>
      <w:r>
        <w:rPr>
          <w:rFonts w:hint="eastAsia" w:ascii="宋体" w:hAnsi="宋体" w:cs="宋体"/>
          <w:sz w:val="24"/>
          <w:szCs w:val="21"/>
          <w:highlight w:val="none"/>
          <w:shd w:val="clear" w:color="auto" w:fill="FFFFFF"/>
        </w:rPr>
        <w:t>招标代理机构：哈尔滨鸿翔建设工程项目管理有限公司 </w:t>
      </w:r>
    </w:p>
    <w:p>
      <w:pPr>
        <w:shd w:val="clear" w:color="auto" w:fill="FFFFFF"/>
        <w:spacing w:line="360" w:lineRule="auto"/>
        <w:rPr>
          <w:rFonts w:ascii="宋体" w:hAnsi="宋体" w:cs="宋体"/>
          <w:sz w:val="24"/>
          <w:szCs w:val="24"/>
          <w:highlight w:val="none"/>
          <w:shd w:val="clear" w:color="auto" w:fill="FFFFFF"/>
        </w:rPr>
      </w:pPr>
      <w:r>
        <w:rPr>
          <w:rFonts w:hint="eastAsia" w:ascii="宋体" w:hAnsi="宋体" w:cs="宋体"/>
          <w:sz w:val="24"/>
          <w:szCs w:val="24"/>
          <w:highlight w:val="none"/>
          <w:shd w:val="clear" w:color="auto" w:fill="FFFFFF"/>
        </w:rPr>
        <w:t>地    址：哈尔滨市道里区爱建路8号515室</w:t>
      </w:r>
    </w:p>
    <w:p>
      <w:pPr>
        <w:shd w:val="clear" w:color="auto" w:fill="FFFFFF"/>
        <w:spacing w:line="360" w:lineRule="auto"/>
        <w:rPr>
          <w:rFonts w:hint="eastAsia" w:ascii="宋体" w:hAnsi="宋体" w:eastAsia="宋体" w:cs="宋体"/>
          <w:sz w:val="24"/>
          <w:szCs w:val="24"/>
          <w:highlight w:val="none"/>
          <w:shd w:val="clear" w:color="auto" w:fill="FFFFFF"/>
          <w:lang w:eastAsia="zh-CN"/>
        </w:rPr>
      </w:pPr>
      <w:r>
        <w:rPr>
          <w:rFonts w:hint="eastAsia" w:ascii="宋体" w:hAnsi="宋体" w:cs="宋体"/>
          <w:sz w:val="24"/>
          <w:szCs w:val="24"/>
          <w:highlight w:val="none"/>
          <w:shd w:val="clear" w:color="auto" w:fill="FFFFFF"/>
        </w:rPr>
        <w:t>联  系 人：侯</w:t>
      </w:r>
      <w:r>
        <w:rPr>
          <w:rFonts w:hint="eastAsia" w:ascii="宋体" w:hAnsi="宋体" w:cs="宋体"/>
          <w:sz w:val="24"/>
          <w:szCs w:val="24"/>
          <w:highlight w:val="none"/>
          <w:shd w:val="clear" w:color="auto" w:fill="FFFFFF"/>
          <w:lang w:eastAsia="zh-CN"/>
        </w:rPr>
        <w:t>工</w:t>
      </w:r>
    </w:p>
    <w:p>
      <w:pPr>
        <w:shd w:val="clear" w:color="auto" w:fill="FFFFFF"/>
        <w:spacing w:line="360" w:lineRule="auto"/>
        <w:rPr>
          <w:rFonts w:ascii="宋体" w:hAnsi="宋体" w:cs="宋体"/>
          <w:sz w:val="24"/>
          <w:szCs w:val="24"/>
          <w:highlight w:val="none"/>
          <w:shd w:val="clear" w:color="auto" w:fill="FFFFFF"/>
        </w:rPr>
      </w:pPr>
      <w:r>
        <w:rPr>
          <w:rFonts w:hint="eastAsia" w:ascii="宋体" w:hAnsi="宋体" w:cs="宋体"/>
          <w:sz w:val="24"/>
          <w:szCs w:val="24"/>
          <w:highlight w:val="none"/>
          <w:shd w:val="clear" w:color="auto" w:fill="FFFFFF"/>
        </w:rPr>
        <w:t>联 系 电 话：0451-8836551</w:t>
      </w:r>
      <w:bookmarkStart w:id="0" w:name="_GoBack"/>
      <w:bookmarkEnd w:id="0"/>
      <w:r>
        <w:rPr>
          <w:rFonts w:hint="eastAsia" w:ascii="宋体" w:hAnsi="宋体" w:cs="宋体"/>
          <w:sz w:val="24"/>
          <w:szCs w:val="24"/>
          <w:highlight w:val="none"/>
          <w:shd w:val="clear" w:color="auto" w:fill="FFFFFF"/>
        </w:rPr>
        <w:t>8</w:t>
      </w:r>
    </w:p>
    <w:p>
      <w:pPr>
        <w:shd w:val="clear" w:color="auto" w:fill="FFFFFF"/>
        <w:spacing w:line="360" w:lineRule="auto"/>
        <w:rPr>
          <w:rFonts w:ascii="宋体" w:hAnsi="宋体" w:cs="宋体"/>
          <w:sz w:val="24"/>
          <w:szCs w:val="24"/>
          <w:highlight w:val="none"/>
          <w:shd w:val="clear" w:color="auto" w:fill="FFFFFF"/>
        </w:rPr>
      </w:pPr>
      <w:r>
        <w:rPr>
          <w:rFonts w:hint="eastAsia" w:ascii="宋体" w:hAnsi="宋体" w:cs="宋体"/>
          <w:sz w:val="24"/>
          <w:szCs w:val="24"/>
          <w:highlight w:val="none"/>
          <w:shd w:val="clear" w:color="auto" w:fill="FFFFFF"/>
        </w:rPr>
        <w:t>邮       箱</w:t>
      </w:r>
      <w:r>
        <w:rPr>
          <w:highlight w:val="none"/>
        </w:rPr>
        <w:fldChar w:fldCharType="begin"/>
      </w:r>
      <w:r>
        <w:rPr>
          <w:highlight w:val="none"/>
        </w:rPr>
        <w:instrText xml:space="preserve"> HYPERLINK "mailto:\\'bahxxmgl@163.co" </w:instrText>
      </w:r>
      <w:r>
        <w:rPr>
          <w:highlight w:val="none"/>
        </w:rPr>
        <w:fldChar w:fldCharType="separate"/>
      </w:r>
      <w:r>
        <w:rPr>
          <w:rFonts w:hint="eastAsia" w:ascii="宋体" w:hAnsi="宋体" w:cs="宋体"/>
          <w:sz w:val="24"/>
          <w:szCs w:val="24"/>
          <w:highlight w:val="none"/>
          <w:shd w:val="clear" w:color="auto" w:fill="FFFFFF"/>
        </w:rPr>
        <w:t>:hxxmgl@16</w:t>
      </w:r>
      <w:r>
        <w:rPr>
          <w:rFonts w:hint="eastAsia" w:ascii="宋体" w:hAnsi="宋体" w:cs="宋体"/>
          <w:sz w:val="24"/>
          <w:szCs w:val="24"/>
          <w:highlight w:val="none"/>
          <w:shd w:val="clear" w:color="auto" w:fill="FFFFFF"/>
          <w:lang w:val="en-US" w:eastAsia="zh-CN"/>
        </w:rPr>
        <w:t>3</w:t>
      </w:r>
      <w:r>
        <w:rPr>
          <w:rFonts w:hint="eastAsia" w:ascii="宋体" w:hAnsi="宋体" w:cs="宋体"/>
          <w:sz w:val="24"/>
          <w:szCs w:val="24"/>
          <w:highlight w:val="none"/>
          <w:shd w:val="clear" w:color="auto" w:fill="FFFFFF"/>
        </w:rPr>
        <w:t>.co</w:t>
      </w:r>
      <w:r>
        <w:rPr>
          <w:rFonts w:hint="eastAsia" w:ascii="宋体" w:hAnsi="宋体" w:cs="宋体"/>
          <w:sz w:val="24"/>
          <w:szCs w:val="24"/>
          <w:highlight w:val="none"/>
          <w:shd w:val="clear" w:color="auto" w:fill="FFFFFF"/>
        </w:rPr>
        <w:fldChar w:fldCharType="end"/>
      </w:r>
      <w:r>
        <w:rPr>
          <w:rFonts w:hint="eastAsia" w:ascii="宋体" w:hAnsi="宋体" w:cs="宋体"/>
          <w:sz w:val="24"/>
          <w:szCs w:val="24"/>
          <w:highlight w:val="none"/>
          <w:shd w:val="clear" w:color="auto" w:fill="FFFFFF"/>
        </w:rPr>
        <w:t>m</w:t>
      </w:r>
    </w:p>
    <w:p>
      <w:pPr>
        <w:shd w:val="clear" w:color="auto" w:fill="FFFFFF"/>
        <w:spacing w:line="360" w:lineRule="auto"/>
        <w:rPr>
          <w:rFonts w:ascii="宋体" w:hAnsi="宋体" w:cs="宋体"/>
          <w:sz w:val="24"/>
          <w:szCs w:val="24"/>
          <w:highlight w:val="none"/>
          <w:shd w:val="clear" w:color="auto" w:fill="FFFFFF"/>
        </w:rPr>
      </w:pPr>
    </w:p>
    <w:p>
      <w:pPr>
        <w:spacing w:line="360" w:lineRule="auto"/>
        <w:jc w:val="both"/>
        <w:rPr>
          <w:rFonts w:ascii="宋体"/>
          <w:color w:val="auto"/>
          <w:sz w:val="24"/>
          <w:szCs w:val="24"/>
          <w:highlight w:val="none"/>
        </w:rPr>
      </w:pPr>
      <w:r>
        <w:rPr>
          <w:rFonts w:hint="eastAsia" w:ascii="宋体" w:hAnsi="宋体" w:cs="宋体"/>
          <w:sz w:val="24"/>
          <w:szCs w:val="24"/>
          <w:highlight w:val="none"/>
          <w:shd w:val="clear" w:color="auto" w:fill="FFFFFF"/>
        </w:rPr>
        <w:t>2019年</w:t>
      </w:r>
      <w:r>
        <w:rPr>
          <w:rFonts w:hint="eastAsia" w:ascii="宋体" w:hAnsi="宋体" w:cs="宋体"/>
          <w:sz w:val="24"/>
          <w:szCs w:val="24"/>
          <w:highlight w:val="none"/>
          <w:shd w:val="clear" w:color="auto" w:fill="FFFFFF"/>
          <w:lang w:val="en-US" w:eastAsia="zh-CN"/>
        </w:rPr>
        <w:t>9</w:t>
      </w:r>
      <w:r>
        <w:rPr>
          <w:rFonts w:hint="eastAsia" w:ascii="宋体" w:hAnsi="宋体" w:cs="宋体"/>
          <w:sz w:val="24"/>
          <w:szCs w:val="24"/>
          <w:highlight w:val="none"/>
          <w:shd w:val="clear" w:color="auto" w:fill="FFFFFF"/>
        </w:rPr>
        <w:t>月</w:t>
      </w:r>
      <w:r>
        <w:rPr>
          <w:rFonts w:hint="eastAsia" w:ascii="宋体" w:hAnsi="宋体" w:cs="宋体"/>
          <w:sz w:val="24"/>
          <w:szCs w:val="24"/>
          <w:highlight w:val="none"/>
          <w:shd w:val="clear" w:color="auto" w:fill="FFFFFF"/>
          <w:lang w:val="en-US" w:eastAsia="zh-CN"/>
        </w:rPr>
        <w:t>23</w:t>
      </w:r>
      <w:r>
        <w:rPr>
          <w:rFonts w:hint="eastAsia" w:ascii="宋体" w:hAnsi="宋体" w:cs="宋体"/>
          <w:sz w:val="24"/>
          <w:szCs w:val="24"/>
          <w:highlight w:val="none"/>
          <w:shd w:val="clear" w:color="auto" w:fill="FFFFFF"/>
        </w:rPr>
        <w:t>日</w:t>
      </w:r>
    </w:p>
    <w:sectPr>
      <w:pgSz w:w="11906" w:h="16838"/>
      <w:pgMar w:top="1440" w:right="1797" w:bottom="1701" w:left="179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bordersDoNotSurroundHeader w:val="1"/>
  <w:bordersDoNotSurroundFooter w:val="1"/>
  <w:doNotTrackMoves/>
  <w:documentProtection w:enforcement="0"/>
  <w:defaultTabStop w:val="420"/>
  <w:drawingGridVerticalSpacing w:val="156"/>
  <w:displayHorizontalDrawingGridEvery w:val="0"/>
  <w:displayVerticalDrawingGridEvery w:val="2"/>
  <w:characterSpacingControl w:val="compressPunctuation"/>
  <w:noLineBreaksAfter w:lang="zh-CN" w:val="$([{£¥·‘“〈《「『【〔〖〝﹙﹛﹝＄（．［｛￡￥"/>
  <w:noLineBreaksBefore w:lang="zh-CN" w:val="!%),.:;&gt;?]}¢¨°·ˇˉ―‖’”…‰′″›℃∶、。〃〉》」』】〕〗〞︶︺︾﹀﹄﹚﹜﹞！＂％＇），．：；？］｀｜｝～￠"/>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2"/>
  </w:compat>
  <w:rsids>
    <w:rsidRoot w:val="00E86CFD"/>
    <w:rsid w:val="00013B27"/>
    <w:rsid w:val="000168C4"/>
    <w:rsid w:val="00022F1A"/>
    <w:rsid w:val="00032D56"/>
    <w:rsid w:val="00037460"/>
    <w:rsid w:val="00040376"/>
    <w:rsid w:val="00043760"/>
    <w:rsid w:val="000454C3"/>
    <w:rsid w:val="00047090"/>
    <w:rsid w:val="000549D8"/>
    <w:rsid w:val="00061B5F"/>
    <w:rsid w:val="00071520"/>
    <w:rsid w:val="00073C5E"/>
    <w:rsid w:val="000B7E21"/>
    <w:rsid w:val="000C14E4"/>
    <w:rsid w:val="000C26D9"/>
    <w:rsid w:val="000C70BC"/>
    <w:rsid w:val="000D1240"/>
    <w:rsid w:val="000D2975"/>
    <w:rsid w:val="000E0232"/>
    <w:rsid w:val="000E4EF3"/>
    <w:rsid w:val="000F27A3"/>
    <w:rsid w:val="00102C35"/>
    <w:rsid w:val="00106B03"/>
    <w:rsid w:val="00107C56"/>
    <w:rsid w:val="0011106D"/>
    <w:rsid w:val="0011330A"/>
    <w:rsid w:val="00113A23"/>
    <w:rsid w:val="0011731A"/>
    <w:rsid w:val="001278D2"/>
    <w:rsid w:val="001406D8"/>
    <w:rsid w:val="00150555"/>
    <w:rsid w:val="00163A7D"/>
    <w:rsid w:val="00165389"/>
    <w:rsid w:val="00167568"/>
    <w:rsid w:val="00197530"/>
    <w:rsid w:val="001B69D5"/>
    <w:rsid w:val="001C0394"/>
    <w:rsid w:val="001C21F7"/>
    <w:rsid w:val="001D294C"/>
    <w:rsid w:val="001D3E28"/>
    <w:rsid w:val="001E2493"/>
    <w:rsid w:val="001E3538"/>
    <w:rsid w:val="001E588D"/>
    <w:rsid w:val="001E624F"/>
    <w:rsid w:val="001E67BC"/>
    <w:rsid w:val="001E7840"/>
    <w:rsid w:val="001F3CDD"/>
    <w:rsid w:val="001F454A"/>
    <w:rsid w:val="001F4B8F"/>
    <w:rsid w:val="002029EF"/>
    <w:rsid w:val="00220C2A"/>
    <w:rsid w:val="002220D3"/>
    <w:rsid w:val="00235E88"/>
    <w:rsid w:val="00236A80"/>
    <w:rsid w:val="00240B9E"/>
    <w:rsid w:val="00244C7A"/>
    <w:rsid w:val="00245DEF"/>
    <w:rsid w:val="00247417"/>
    <w:rsid w:val="002477C9"/>
    <w:rsid w:val="0025122D"/>
    <w:rsid w:val="00253D50"/>
    <w:rsid w:val="0026069D"/>
    <w:rsid w:val="002650B9"/>
    <w:rsid w:val="00266B9C"/>
    <w:rsid w:val="00272A73"/>
    <w:rsid w:val="00287624"/>
    <w:rsid w:val="00293BEA"/>
    <w:rsid w:val="00293DAA"/>
    <w:rsid w:val="00294EEA"/>
    <w:rsid w:val="002A1B74"/>
    <w:rsid w:val="002A6E6B"/>
    <w:rsid w:val="002A7A57"/>
    <w:rsid w:val="002B0DAC"/>
    <w:rsid w:val="002B512F"/>
    <w:rsid w:val="002B6F18"/>
    <w:rsid w:val="002D5381"/>
    <w:rsid w:val="002D7107"/>
    <w:rsid w:val="002F487C"/>
    <w:rsid w:val="002F7457"/>
    <w:rsid w:val="0030027C"/>
    <w:rsid w:val="0030079F"/>
    <w:rsid w:val="00300A2A"/>
    <w:rsid w:val="00306C49"/>
    <w:rsid w:val="003229A1"/>
    <w:rsid w:val="00324CBC"/>
    <w:rsid w:val="00327CE8"/>
    <w:rsid w:val="00333A3F"/>
    <w:rsid w:val="00341CB2"/>
    <w:rsid w:val="00345321"/>
    <w:rsid w:val="00353348"/>
    <w:rsid w:val="00360B60"/>
    <w:rsid w:val="0037324B"/>
    <w:rsid w:val="00375471"/>
    <w:rsid w:val="0039688E"/>
    <w:rsid w:val="003A3162"/>
    <w:rsid w:val="003C6430"/>
    <w:rsid w:val="003C682A"/>
    <w:rsid w:val="003D4221"/>
    <w:rsid w:val="003E1452"/>
    <w:rsid w:val="003F3664"/>
    <w:rsid w:val="003F43FC"/>
    <w:rsid w:val="0040243D"/>
    <w:rsid w:val="00403255"/>
    <w:rsid w:val="00410EDC"/>
    <w:rsid w:val="00413141"/>
    <w:rsid w:val="004225AD"/>
    <w:rsid w:val="0043242D"/>
    <w:rsid w:val="00437AF4"/>
    <w:rsid w:val="0044439F"/>
    <w:rsid w:val="00446A65"/>
    <w:rsid w:val="00461DEF"/>
    <w:rsid w:val="0047396B"/>
    <w:rsid w:val="00493BFE"/>
    <w:rsid w:val="004B48EA"/>
    <w:rsid w:val="004B5C2B"/>
    <w:rsid w:val="004C6B9B"/>
    <w:rsid w:val="004C7A83"/>
    <w:rsid w:val="004D7766"/>
    <w:rsid w:val="004E672B"/>
    <w:rsid w:val="004F0A2A"/>
    <w:rsid w:val="004F4DFF"/>
    <w:rsid w:val="005016A2"/>
    <w:rsid w:val="00507C76"/>
    <w:rsid w:val="00513279"/>
    <w:rsid w:val="005369B0"/>
    <w:rsid w:val="0053707D"/>
    <w:rsid w:val="005430FA"/>
    <w:rsid w:val="00553251"/>
    <w:rsid w:val="0055364E"/>
    <w:rsid w:val="0057113F"/>
    <w:rsid w:val="00573D90"/>
    <w:rsid w:val="00575A8A"/>
    <w:rsid w:val="00580664"/>
    <w:rsid w:val="005831A5"/>
    <w:rsid w:val="00586807"/>
    <w:rsid w:val="00587130"/>
    <w:rsid w:val="00596EA3"/>
    <w:rsid w:val="005973CB"/>
    <w:rsid w:val="005A3EA9"/>
    <w:rsid w:val="005B6123"/>
    <w:rsid w:val="005D0A53"/>
    <w:rsid w:val="005D7E4D"/>
    <w:rsid w:val="005E5CAA"/>
    <w:rsid w:val="005F2883"/>
    <w:rsid w:val="005F2A1C"/>
    <w:rsid w:val="005F64D7"/>
    <w:rsid w:val="0060460C"/>
    <w:rsid w:val="006114AB"/>
    <w:rsid w:val="006125CD"/>
    <w:rsid w:val="006259A5"/>
    <w:rsid w:val="0063274C"/>
    <w:rsid w:val="00636D9E"/>
    <w:rsid w:val="0064103B"/>
    <w:rsid w:val="00642358"/>
    <w:rsid w:val="006434E5"/>
    <w:rsid w:val="00643EEF"/>
    <w:rsid w:val="00653697"/>
    <w:rsid w:val="00662AA1"/>
    <w:rsid w:val="00667669"/>
    <w:rsid w:val="00680406"/>
    <w:rsid w:val="0068196D"/>
    <w:rsid w:val="00682892"/>
    <w:rsid w:val="006925E9"/>
    <w:rsid w:val="006950E9"/>
    <w:rsid w:val="006B0C6C"/>
    <w:rsid w:val="006B505A"/>
    <w:rsid w:val="006C2621"/>
    <w:rsid w:val="006C7F51"/>
    <w:rsid w:val="006D0570"/>
    <w:rsid w:val="006D0D0F"/>
    <w:rsid w:val="006D2FD1"/>
    <w:rsid w:val="006D46CC"/>
    <w:rsid w:val="006E1770"/>
    <w:rsid w:val="006E63BA"/>
    <w:rsid w:val="006F0BE2"/>
    <w:rsid w:val="0070443C"/>
    <w:rsid w:val="00717A3D"/>
    <w:rsid w:val="00720423"/>
    <w:rsid w:val="0072185F"/>
    <w:rsid w:val="00721E87"/>
    <w:rsid w:val="00724193"/>
    <w:rsid w:val="00741E99"/>
    <w:rsid w:val="007439E2"/>
    <w:rsid w:val="007451A2"/>
    <w:rsid w:val="00746700"/>
    <w:rsid w:val="00746CE9"/>
    <w:rsid w:val="0076628A"/>
    <w:rsid w:val="00780F5E"/>
    <w:rsid w:val="007828FB"/>
    <w:rsid w:val="00793B2B"/>
    <w:rsid w:val="007A053C"/>
    <w:rsid w:val="007A14BD"/>
    <w:rsid w:val="007A5E7F"/>
    <w:rsid w:val="007A7210"/>
    <w:rsid w:val="007C138E"/>
    <w:rsid w:val="007C2089"/>
    <w:rsid w:val="007C5A3F"/>
    <w:rsid w:val="007D3B10"/>
    <w:rsid w:val="007E5E73"/>
    <w:rsid w:val="007F72F1"/>
    <w:rsid w:val="0080335C"/>
    <w:rsid w:val="0081711B"/>
    <w:rsid w:val="008175F9"/>
    <w:rsid w:val="0082314F"/>
    <w:rsid w:val="00842E89"/>
    <w:rsid w:val="00844EAF"/>
    <w:rsid w:val="00846FFD"/>
    <w:rsid w:val="00860A34"/>
    <w:rsid w:val="008723BB"/>
    <w:rsid w:val="00874B26"/>
    <w:rsid w:val="0088295C"/>
    <w:rsid w:val="00885928"/>
    <w:rsid w:val="00887E95"/>
    <w:rsid w:val="00892E1A"/>
    <w:rsid w:val="008A053F"/>
    <w:rsid w:val="008B3322"/>
    <w:rsid w:val="008B7796"/>
    <w:rsid w:val="008C36AC"/>
    <w:rsid w:val="008C4081"/>
    <w:rsid w:val="008C4353"/>
    <w:rsid w:val="008D259D"/>
    <w:rsid w:val="008D5802"/>
    <w:rsid w:val="008D7FE3"/>
    <w:rsid w:val="008E626C"/>
    <w:rsid w:val="008E64C7"/>
    <w:rsid w:val="008E76AB"/>
    <w:rsid w:val="008F2156"/>
    <w:rsid w:val="008F5558"/>
    <w:rsid w:val="00921EC3"/>
    <w:rsid w:val="009259A7"/>
    <w:rsid w:val="00932B21"/>
    <w:rsid w:val="009446CE"/>
    <w:rsid w:val="00951849"/>
    <w:rsid w:val="00957561"/>
    <w:rsid w:val="00960F8E"/>
    <w:rsid w:val="00961C88"/>
    <w:rsid w:val="00970888"/>
    <w:rsid w:val="00972D6D"/>
    <w:rsid w:val="00983BB4"/>
    <w:rsid w:val="00984008"/>
    <w:rsid w:val="00996B1F"/>
    <w:rsid w:val="009D100F"/>
    <w:rsid w:val="009D2138"/>
    <w:rsid w:val="009E07CF"/>
    <w:rsid w:val="009E552A"/>
    <w:rsid w:val="009F269E"/>
    <w:rsid w:val="009F60F9"/>
    <w:rsid w:val="00A01D30"/>
    <w:rsid w:val="00A11B24"/>
    <w:rsid w:val="00A1428B"/>
    <w:rsid w:val="00A158D0"/>
    <w:rsid w:val="00A21E25"/>
    <w:rsid w:val="00A2493C"/>
    <w:rsid w:val="00A24C55"/>
    <w:rsid w:val="00A25F13"/>
    <w:rsid w:val="00A33E62"/>
    <w:rsid w:val="00A41F75"/>
    <w:rsid w:val="00A46120"/>
    <w:rsid w:val="00A57D32"/>
    <w:rsid w:val="00A63A8D"/>
    <w:rsid w:val="00A64079"/>
    <w:rsid w:val="00A65C7F"/>
    <w:rsid w:val="00A6623F"/>
    <w:rsid w:val="00A908AD"/>
    <w:rsid w:val="00A916ED"/>
    <w:rsid w:val="00A9396E"/>
    <w:rsid w:val="00A943AD"/>
    <w:rsid w:val="00A94AD9"/>
    <w:rsid w:val="00AA01ED"/>
    <w:rsid w:val="00AA2298"/>
    <w:rsid w:val="00AA235E"/>
    <w:rsid w:val="00AA6C4E"/>
    <w:rsid w:val="00AA73E8"/>
    <w:rsid w:val="00AA764B"/>
    <w:rsid w:val="00AC6BA2"/>
    <w:rsid w:val="00AD17C0"/>
    <w:rsid w:val="00AD6764"/>
    <w:rsid w:val="00AE07C1"/>
    <w:rsid w:val="00AE6772"/>
    <w:rsid w:val="00AF3476"/>
    <w:rsid w:val="00AF39D2"/>
    <w:rsid w:val="00AF718E"/>
    <w:rsid w:val="00B0128D"/>
    <w:rsid w:val="00B04196"/>
    <w:rsid w:val="00B066CA"/>
    <w:rsid w:val="00B127E2"/>
    <w:rsid w:val="00B30572"/>
    <w:rsid w:val="00B322A6"/>
    <w:rsid w:val="00B35423"/>
    <w:rsid w:val="00B4359E"/>
    <w:rsid w:val="00B5467E"/>
    <w:rsid w:val="00B8231E"/>
    <w:rsid w:val="00B97105"/>
    <w:rsid w:val="00BA2435"/>
    <w:rsid w:val="00BA3CD7"/>
    <w:rsid w:val="00BA4CBE"/>
    <w:rsid w:val="00BA749B"/>
    <w:rsid w:val="00BB1DED"/>
    <w:rsid w:val="00BC7B00"/>
    <w:rsid w:val="00BD0E34"/>
    <w:rsid w:val="00BD1B83"/>
    <w:rsid w:val="00BE0655"/>
    <w:rsid w:val="00BF025E"/>
    <w:rsid w:val="00C011C4"/>
    <w:rsid w:val="00C01329"/>
    <w:rsid w:val="00C01BF2"/>
    <w:rsid w:val="00C064AA"/>
    <w:rsid w:val="00C07011"/>
    <w:rsid w:val="00C07C06"/>
    <w:rsid w:val="00C10185"/>
    <w:rsid w:val="00C12E7E"/>
    <w:rsid w:val="00C1358D"/>
    <w:rsid w:val="00C1528A"/>
    <w:rsid w:val="00C23803"/>
    <w:rsid w:val="00C32D86"/>
    <w:rsid w:val="00C34B01"/>
    <w:rsid w:val="00C36450"/>
    <w:rsid w:val="00C445CC"/>
    <w:rsid w:val="00C451B3"/>
    <w:rsid w:val="00C45FFC"/>
    <w:rsid w:val="00C529DD"/>
    <w:rsid w:val="00C54AE8"/>
    <w:rsid w:val="00C559A7"/>
    <w:rsid w:val="00C56175"/>
    <w:rsid w:val="00C60698"/>
    <w:rsid w:val="00C61331"/>
    <w:rsid w:val="00C61D8D"/>
    <w:rsid w:val="00C7004C"/>
    <w:rsid w:val="00C74DB9"/>
    <w:rsid w:val="00C870B1"/>
    <w:rsid w:val="00C946E1"/>
    <w:rsid w:val="00CA4494"/>
    <w:rsid w:val="00CB511C"/>
    <w:rsid w:val="00CC5FEE"/>
    <w:rsid w:val="00CC73CB"/>
    <w:rsid w:val="00CD2FE3"/>
    <w:rsid w:val="00CD7B9A"/>
    <w:rsid w:val="00CE110A"/>
    <w:rsid w:val="00CE1FBA"/>
    <w:rsid w:val="00CE61D4"/>
    <w:rsid w:val="00CF3749"/>
    <w:rsid w:val="00D06545"/>
    <w:rsid w:val="00D11CF6"/>
    <w:rsid w:val="00D170BA"/>
    <w:rsid w:val="00D22E67"/>
    <w:rsid w:val="00D24FDA"/>
    <w:rsid w:val="00D35181"/>
    <w:rsid w:val="00D35827"/>
    <w:rsid w:val="00D61A4D"/>
    <w:rsid w:val="00D64559"/>
    <w:rsid w:val="00D80A09"/>
    <w:rsid w:val="00D853A9"/>
    <w:rsid w:val="00D91AEF"/>
    <w:rsid w:val="00D93199"/>
    <w:rsid w:val="00D9524B"/>
    <w:rsid w:val="00DA1E70"/>
    <w:rsid w:val="00DA68BC"/>
    <w:rsid w:val="00DC5101"/>
    <w:rsid w:val="00DD0FE8"/>
    <w:rsid w:val="00DD198E"/>
    <w:rsid w:val="00DD2334"/>
    <w:rsid w:val="00DD6917"/>
    <w:rsid w:val="00DD791A"/>
    <w:rsid w:val="00E02480"/>
    <w:rsid w:val="00E044BA"/>
    <w:rsid w:val="00E202E9"/>
    <w:rsid w:val="00E26FAE"/>
    <w:rsid w:val="00E27E7B"/>
    <w:rsid w:val="00E321C6"/>
    <w:rsid w:val="00E41C7B"/>
    <w:rsid w:val="00E439F4"/>
    <w:rsid w:val="00E451C6"/>
    <w:rsid w:val="00E54080"/>
    <w:rsid w:val="00E55ED2"/>
    <w:rsid w:val="00E64904"/>
    <w:rsid w:val="00E64B46"/>
    <w:rsid w:val="00E763B5"/>
    <w:rsid w:val="00E77E25"/>
    <w:rsid w:val="00E81393"/>
    <w:rsid w:val="00E86CFD"/>
    <w:rsid w:val="00E91A01"/>
    <w:rsid w:val="00E93BF5"/>
    <w:rsid w:val="00E97B0E"/>
    <w:rsid w:val="00EA7367"/>
    <w:rsid w:val="00EB0859"/>
    <w:rsid w:val="00EB1715"/>
    <w:rsid w:val="00EC260A"/>
    <w:rsid w:val="00EC338A"/>
    <w:rsid w:val="00ED7AB3"/>
    <w:rsid w:val="00EE2697"/>
    <w:rsid w:val="00EE2795"/>
    <w:rsid w:val="00EF2327"/>
    <w:rsid w:val="00EF4883"/>
    <w:rsid w:val="00EF57C0"/>
    <w:rsid w:val="00EF58B5"/>
    <w:rsid w:val="00F01A21"/>
    <w:rsid w:val="00F03FC5"/>
    <w:rsid w:val="00F10A08"/>
    <w:rsid w:val="00F12A09"/>
    <w:rsid w:val="00F34B3F"/>
    <w:rsid w:val="00F35E42"/>
    <w:rsid w:val="00F47975"/>
    <w:rsid w:val="00F512F2"/>
    <w:rsid w:val="00F5319C"/>
    <w:rsid w:val="00F70B02"/>
    <w:rsid w:val="00F74F6C"/>
    <w:rsid w:val="00F758A8"/>
    <w:rsid w:val="00F76946"/>
    <w:rsid w:val="00F76D47"/>
    <w:rsid w:val="00F86AA9"/>
    <w:rsid w:val="00F93598"/>
    <w:rsid w:val="00FA05FE"/>
    <w:rsid w:val="00FA33ED"/>
    <w:rsid w:val="00FA7721"/>
    <w:rsid w:val="00FB1CE9"/>
    <w:rsid w:val="00FC3229"/>
    <w:rsid w:val="00FC7EDF"/>
    <w:rsid w:val="00FE37DF"/>
    <w:rsid w:val="00FF2B2A"/>
    <w:rsid w:val="00FF69E1"/>
    <w:rsid w:val="017613B6"/>
    <w:rsid w:val="021041EE"/>
    <w:rsid w:val="02386755"/>
    <w:rsid w:val="02A5479C"/>
    <w:rsid w:val="038A2CAE"/>
    <w:rsid w:val="049D7F94"/>
    <w:rsid w:val="04E67C3D"/>
    <w:rsid w:val="05123CCC"/>
    <w:rsid w:val="05F0117F"/>
    <w:rsid w:val="063C74EA"/>
    <w:rsid w:val="06EE63A5"/>
    <w:rsid w:val="070A4C91"/>
    <w:rsid w:val="07656817"/>
    <w:rsid w:val="07E63F7E"/>
    <w:rsid w:val="07E93816"/>
    <w:rsid w:val="080F5FAD"/>
    <w:rsid w:val="08227C1B"/>
    <w:rsid w:val="089E6B55"/>
    <w:rsid w:val="08F9330C"/>
    <w:rsid w:val="09A87EA1"/>
    <w:rsid w:val="09EE2725"/>
    <w:rsid w:val="0A0051B6"/>
    <w:rsid w:val="0B2C5DBD"/>
    <w:rsid w:val="0B8841E1"/>
    <w:rsid w:val="0BFF463D"/>
    <w:rsid w:val="0C251699"/>
    <w:rsid w:val="0C3C0A75"/>
    <w:rsid w:val="0C3D26B0"/>
    <w:rsid w:val="0C820754"/>
    <w:rsid w:val="0D777722"/>
    <w:rsid w:val="0D971D00"/>
    <w:rsid w:val="0DE5061F"/>
    <w:rsid w:val="0F242B94"/>
    <w:rsid w:val="0FEB2B77"/>
    <w:rsid w:val="11016361"/>
    <w:rsid w:val="115369A4"/>
    <w:rsid w:val="11D75B59"/>
    <w:rsid w:val="11DD196D"/>
    <w:rsid w:val="11EF5A59"/>
    <w:rsid w:val="127C6A51"/>
    <w:rsid w:val="12FC04AA"/>
    <w:rsid w:val="139B1DB1"/>
    <w:rsid w:val="140334B9"/>
    <w:rsid w:val="14147DB2"/>
    <w:rsid w:val="142E636A"/>
    <w:rsid w:val="14443A42"/>
    <w:rsid w:val="14880A08"/>
    <w:rsid w:val="14A350DF"/>
    <w:rsid w:val="14D33CFF"/>
    <w:rsid w:val="15100F15"/>
    <w:rsid w:val="15736318"/>
    <w:rsid w:val="15890864"/>
    <w:rsid w:val="15994D02"/>
    <w:rsid w:val="166E06F0"/>
    <w:rsid w:val="168714A6"/>
    <w:rsid w:val="16E63B0D"/>
    <w:rsid w:val="17300121"/>
    <w:rsid w:val="17D222BD"/>
    <w:rsid w:val="17DF7ECB"/>
    <w:rsid w:val="18E8690E"/>
    <w:rsid w:val="18ED5051"/>
    <w:rsid w:val="19545C32"/>
    <w:rsid w:val="197D5285"/>
    <w:rsid w:val="1A07035E"/>
    <w:rsid w:val="1A1314A4"/>
    <w:rsid w:val="1BA5637F"/>
    <w:rsid w:val="1C532DA4"/>
    <w:rsid w:val="1C684C9D"/>
    <w:rsid w:val="1CDD33AA"/>
    <w:rsid w:val="1D263CEA"/>
    <w:rsid w:val="1E6B16DC"/>
    <w:rsid w:val="1EDC4E8B"/>
    <w:rsid w:val="1F4C128F"/>
    <w:rsid w:val="1FE63021"/>
    <w:rsid w:val="1FF12A80"/>
    <w:rsid w:val="215C510D"/>
    <w:rsid w:val="22B97E06"/>
    <w:rsid w:val="22C745F9"/>
    <w:rsid w:val="22F63EDF"/>
    <w:rsid w:val="231F572F"/>
    <w:rsid w:val="23254558"/>
    <w:rsid w:val="238379F4"/>
    <w:rsid w:val="249A0794"/>
    <w:rsid w:val="273D2781"/>
    <w:rsid w:val="27A362B9"/>
    <w:rsid w:val="27C95BF9"/>
    <w:rsid w:val="28222ECF"/>
    <w:rsid w:val="29363955"/>
    <w:rsid w:val="29821361"/>
    <w:rsid w:val="29AA6FD0"/>
    <w:rsid w:val="2A057D57"/>
    <w:rsid w:val="2A3E6E2B"/>
    <w:rsid w:val="2A580ED9"/>
    <w:rsid w:val="2A8420BB"/>
    <w:rsid w:val="2AD2029F"/>
    <w:rsid w:val="2BE815E6"/>
    <w:rsid w:val="2CD933F8"/>
    <w:rsid w:val="2CE42694"/>
    <w:rsid w:val="2DC26133"/>
    <w:rsid w:val="2F140A7B"/>
    <w:rsid w:val="30264DDE"/>
    <w:rsid w:val="306F5264"/>
    <w:rsid w:val="309453C8"/>
    <w:rsid w:val="31530A9C"/>
    <w:rsid w:val="31A351D5"/>
    <w:rsid w:val="31B05B40"/>
    <w:rsid w:val="32257C50"/>
    <w:rsid w:val="325842D8"/>
    <w:rsid w:val="329D73AA"/>
    <w:rsid w:val="333B6ED1"/>
    <w:rsid w:val="33E2797A"/>
    <w:rsid w:val="33E37C48"/>
    <w:rsid w:val="347123DC"/>
    <w:rsid w:val="347F057C"/>
    <w:rsid w:val="357A014C"/>
    <w:rsid w:val="366E5F35"/>
    <w:rsid w:val="367126A0"/>
    <w:rsid w:val="367E3CF5"/>
    <w:rsid w:val="373571A8"/>
    <w:rsid w:val="37410444"/>
    <w:rsid w:val="37C85D8F"/>
    <w:rsid w:val="37F17CBE"/>
    <w:rsid w:val="38DB65B0"/>
    <w:rsid w:val="390B6AB7"/>
    <w:rsid w:val="391F2ED7"/>
    <w:rsid w:val="397C2BEE"/>
    <w:rsid w:val="39A150C0"/>
    <w:rsid w:val="39FA558E"/>
    <w:rsid w:val="3B1A54DC"/>
    <w:rsid w:val="3B291123"/>
    <w:rsid w:val="3B2C1183"/>
    <w:rsid w:val="3C3850AB"/>
    <w:rsid w:val="3C5A71F2"/>
    <w:rsid w:val="3C6E520A"/>
    <w:rsid w:val="3D452E8B"/>
    <w:rsid w:val="3E15438B"/>
    <w:rsid w:val="3E1E24FA"/>
    <w:rsid w:val="3ED76BAD"/>
    <w:rsid w:val="3F25474D"/>
    <w:rsid w:val="3FDB59EB"/>
    <w:rsid w:val="405B69BC"/>
    <w:rsid w:val="40602C4A"/>
    <w:rsid w:val="407D726E"/>
    <w:rsid w:val="42950593"/>
    <w:rsid w:val="431A05A7"/>
    <w:rsid w:val="43A3759F"/>
    <w:rsid w:val="43D23A79"/>
    <w:rsid w:val="43FA5EE6"/>
    <w:rsid w:val="44087548"/>
    <w:rsid w:val="44512D05"/>
    <w:rsid w:val="446848FD"/>
    <w:rsid w:val="44865467"/>
    <w:rsid w:val="45105BE9"/>
    <w:rsid w:val="454265D2"/>
    <w:rsid w:val="45D50F52"/>
    <w:rsid w:val="462E6EA5"/>
    <w:rsid w:val="4695659C"/>
    <w:rsid w:val="46C62EF0"/>
    <w:rsid w:val="46CF5967"/>
    <w:rsid w:val="46D14F0F"/>
    <w:rsid w:val="47512CE3"/>
    <w:rsid w:val="477E04E4"/>
    <w:rsid w:val="47B43FC0"/>
    <w:rsid w:val="47B87EED"/>
    <w:rsid w:val="48536FA7"/>
    <w:rsid w:val="48F01260"/>
    <w:rsid w:val="494817EB"/>
    <w:rsid w:val="49674271"/>
    <w:rsid w:val="49A60AC2"/>
    <w:rsid w:val="49BA53E5"/>
    <w:rsid w:val="4ADA009B"/>
    <w:rsid w:val="4BCD3DBF"/>
    <w:rsid w:val="4BD7562C"/>
    <w:rsid w:val="4C077FBF"/>
    <w:rsid w:val="4CB121D3"/>
    <w:rsid w:val="4D0B7740"/>
    <w:rsid w:val="4D0F453A"/>
    <w:rsid w:val="4D112CE3"/>
    <w:rsid w:val="4D1B3123"/>
    <w:rsid w:val="4DCB1585"/>
    <w:rsid w:val="4DFA6051"/>
    <w:rsid w:val="4E87682E"/>
    <w:rsid w:val="4F5254A5"/>
    <w:rsid w:val="4FA26936"/>
    <w:rsid w:val="4FFB44ED"/>
    <w:rsid w:val="50036613"/>
    <w:rsid w:val="50221BFD"/>
    <w:rsid w:val="50270B09"/>
    <w:rsid w:val="51235C2F"/>
    <w:rsid w:val="51AE716B"/>
    <w:rsid w:val="51B30F53"/>
    <w:rsid w:val="51CD1242"/>
    <w:rsid w:val="51CE6FBF"/>
    <w:rsid w:val="51F86F20"/>
    <w:rsid w:val="5239219D"/>
    <w:rsid w:val="52E82AA4"/>
    <w:rsid w:val="53236A72"/>
    <w:rsid w:val="532A51C4"/>
    <w:rsid w:val="53687237"/>
    <w:rsid w:val="53C96F07"/>
    <w:rsid w:val="53EC1F9B"/>
    <w:rsid w:val="544552FF"/>
    <w:rsid w:val="559C423E"/>
    <w:rsid w:val="56440273"/>
    <w:rsid w:val="56FF364E"/>
    <w:rsid w:val="57156A8C"/>
    <w:rsid w:val="57202C4F"/>
    <w:rsid w:val="58844858"/>
    <w:rsid w:val="596B4099"/>
    <w:rsid w:val="598138FC"/>
    <w:rsid w:val="59AB4A86"/>
    <w:rsid w:val="5A1C7EB4"/>
    <w:rsid w:val="5A8B5C9F"/>
    <w:rsid w:val="5AC526E4"/>
    <w:rsid w:val="5B1A2972"/>
    <w:rsid w:val="5B3B53C9"/>
    <w:rsid w:val="5B411A31"/>
    <w:rsid w:val="5B813BBD"/>
    <w:rsid w:val="5C935301"/>
    <w:rsid w:val="5D4B53D4"/>
    <w:rsid w:val="5DDB2FE6"/>
    <w:rsid w:val="5DE77309"/>
    <w:rsid w:val="5E223994"/>
    <w:rsid w:val="5FC22080"/>
    <w:rsid w:val="5FD539BD"/>
    <w:rsid w:val="60877B9E"/>
    <w:rsid w:val="61236E4F"/>
    <w:rsid w:val="628C3D39"/>
    <w:rsid w:val="62D657E1"/>
    <w:rsid w:val="63000F29"/>
    <w:rsid w:val="63377CD7"/>
    <w:rsid w:val="63740182"/>
    <w:rsid w:val="63A11776"/>
    <w:rsid w:val="649B0742"/>
    <w:rsid w:val="652D3B6A"/>
    <w:rsid w:val="659465DE"/>
    <w:rsid w:val="66BD691E"/>
    <w:rsid w:val="66E20A71"/>
    <w:rsid w:val="6714571B"/>
    <w:rsid w:val="676B3C44"/>
    <w:rsid w:val="67B022B0"/>
    <w:rsid w:val="6802230A"/>
    <w:rsid w:val="686B3053"/>
    <w:rsid w:val="68E54CEC"/>
    <w:rsid w:val="69CF38F5"/>
    <w:rsid w:val="69E7387C"/>
    <w:rsid w:val="6ADD1DDF"/>
    <w:rsid w:val="6B4021B2"/>
    <w:rsid w:val="6BD02BD8"/>
    <w:rsid w:val="6C972501"/>
    <w:rsid w:val="6D0E01A0"/>
    <w:rsid w:val="6D2A082F"/>
    <w:rsid w:val="6E0B0869"/>
    <w:rsid w:val="6F2722B3"/>
    <w:rsid w:val="6F6645F1"/>
    <w:rsid w:val="7040568B"/>
    <w:rsid w:val="70467218"/>
    <w:rsid w:val="707D006D"/>
    <w:rsid w:val="70CF67BA"/>
    <w:rsid w:val="713C1BE1"/>
    <w:rsid w:val="71766740"/>
    <w:rsid w:val="729B1EC7"/>
    <w:rsid w:val="73495DC0"/>
    <w:rsid w:val="73537594"/>
    <w:rsid w:val="73AB4C45"/>
    <w:rsid w:val="73BC06CD"/>
    <w:rsid w:val="73DC3F56"/>
    <w:rsid w:val="74632751"/>
    <w:rsid w:val="748B2CE2"/>
    <w:rsid w:val="74B049DC"/>
    <w:rsid w:val="74C15171"/>
    <w:rsid w:val="75493E6B"/>
    <w:rsid w:val="75B43798"/>
    <w:rsid w:val="75D37F35"/>
    <w:rsid w:val="75DD5327"/>
    <w:rsid w:val="7600137F"/>
    <w:rsid w:val="761D48EF"/>
    <w:rsid w:val="77980925"/>
    <w:rsid w:val="78A30718"/>
    <w:rsid w:val="78D27934"/>
    <w:rsid w:val="795D79DA"/>
    <w:rsid w:val="79C212DC"/>
    <w:rsid w:val="7A1D11D9"/>
    <w:rsid w:val="7A591C62"/>
    <w:rsid w:val="7AC64FE6"/>
    <w:rsid w:val="7B826698"/>
    <w:rsid w:val="7BE059F5"/>
    <w:rsid w:val="7BED044F"/>
    <w:rsid w:val="7CBA12F9"/>
    <w:rsid w:val="7D687798"/>
    <w:rsid w:val="7D94543C"/>
    <w:rsid w:val="7DAF457B"/>
    <w:rsid w:val="7E3A4419"/>
    <w:rsid w:val="7E9E25FB"/>
    <w:rsid w:val="7EEB2398"/>
    <w:rsid w:val="7F31618F"/>
    <w:rsid w:val="7F4669C8"/>
    <w:rsid w:val="7F6E3AE8"/>
    <w:rsid w:val="7F7E569C"/>
  </w:rsids>
  <m:mathPr>
    <m:mathFont m:val="Cambria Math"/>
    <m:brkBin m:val="before"/>
    <m:brkBinSub m:val="--"/>
    <m:smallFrac m:val="1"/>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uiPriority="99" w:name="footnote text"/>
    <w:lsdException w:qFormat="1" w:unhideWhenUsed="0" w:uiPriority="99" w:name="annotation text"/>
    <w:lsdException w:qFormat="1" w:uiPriority="99" w:name="header"/>
    <w:lsdException w:qFormat="1" w:uiPriority="99"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qFormat="1" w:unhideWhenUsed="0"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nhideWhenUsed="0"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name="Balloon Text"/>
    <w:lsdException w:unhideWhenUsed="0" w:uiPriority="0" w:semiHidden="0" w:name="Table Grid" w:locked="1"/>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paragraph" w:styleId="2">
    <w:name w:val="heading 2"/>
    <w:basedOn w:val="1"/>
    <w:next w:val="1"/>
    <w:semiHidden/>
    <w:unhideWhenUsed/>
    <w:qFormat/>
    <w:locked/>
    <w:uiPriority w:val="0"/>
    <w:pPr>
      <w:keepNext/>
      <w:keepLines/>
      <w:jc w:val="center"/>
      <w:outlineLvl w:val="1"/>
    </w:pPr>
    <w:rPr>
      <w:rFonts w:ascii="Arial" w:hAnsi="Arial"/>
      <w:b/>
      <w:sz w:val="28"/>
    </w:rPr>
  </w:style>
  <w:style w:type="character" w:default="1" w:styleId="9">
    <w:name w:val="Default Paragraph Font"/>
    <w:semiHidden/>
    <w:unhideWhenUsed/>
    <w:qFormat/>
    <w:uiPriority w:val="1"/>
  </w:style>
  <w:style w:type="table" w:default="1" w:styleId="8">
    <w:name w:val="Normal Table"/>
    <w:semiHidden/>
    <w:unhideWhenUsed/>
    <w:qFormat/>
    <w:uiPriority w:val="99"/>
    <w:tblPr>
      <w:tblLayout w:type="fixed"/>
      <w:tblCellMar>
        <w:top w:w="0" w:type="dxa"/>
        <w:left w:w="108" w:type="dxa"/>
        <w:bottom w:w="0" w:type="dxa"/>
        <w:right w:w="108" w:type="dxa"/>
      </w:tblCellMar>
    </w:tblPr>
  </w:style>
  <w:style w:type="paragraph" w:styleId="3">
    <w:name w:val="annotation text"/>
    <w:basedOn w:val="1"/>
    <w:link w:val="14"/>
    <w:semiHidden/>
    <w:qFormat/>
    <w:uiPriority w:val="99"/>
    <w:pPr>
      <w:jc w:val="left"/>
    </w:pPr>
  </w:style>
  <w:style w:type="paragraph" w:styleId="4">
    <w:name w:val="Balloon Text"/>
    <w:basedOn w:val="1"/>
    <w:link w:val="13"/>
    <w:semiHidden/>
    <w:qFormat/>
    <w:uiPriority w:val="99"/>
    <w:rPr>
      <w:sz w:val="18"/>
      <w:szCs w:val="18"/>
    </w:rPr>
  </w:style>
  <w:style w:type="paragraph" w:styleId="5">
    <w:name w:val="footer"/>
    <w:basedOn w:val="1"/>
    <w:link w:val="17"/>
    <w:semiHidden/>
    <w:unhideWhenUsed/>
    <w:qFormat/>
    <w:uiPriority w:val="99"/>
    <w:pPr>
      <w:tabs>
        <w:tab w:val="center" w:pos="4153"/>
        <w:tab w:val="right" w:pos="8306"/>
      </w:tabs>
      <w:snapToGrid w:val="0"/>
      <w:jc w:val="left"/>
    </w:pPr>
    <w:rPr>
      <w:sz w:val="18"/>
      <w:szCs w:val="18"/>
    </w:rPr>
  </w:style>
  <w:style w:type="paragraph" w:styleId="6">
    <w:name w:val="header"/>
    <w:basedOn w:val="1"/>
    <w:link w:val="16"/>
    <w:semiHidden/>
    <w:unhideWhenUsed/>
    <w:qFormat/>
    <w:uiPriority w:val="99"/>
    <w:pPr>
      <w:pBdr>
        <w:bottom w:val="single" w:color="auto" w:sz="6" w:space="1"/>
      </w:pBdr>
      <w:tabs>
        <w:tab w:val="center" w:pos="4153"/>
        <w:tab w:val="right" w:pos="8306"/>
      </w:tabs>
      <w:snapToGrid w:val="0"/>
      <w:jc w:val="center"/>
    </w:pPr>
    <w:rPr>
      <w:sz w:val="18"/>
      <w:szCs w:val="18"/>
    </w:rPr>
  </w:style>
  <w:style w:type="paragraph" w:styleId="7">
    <w:name w:val="annotation subject"/>
    <w:basedOn w:val="3"/>
    <w:next w:val="3"/>
    <w:link w:val="15"/>
    <w:semiHidden/>
    <w:qFormat/>
    <w:uiPriority w:val="99"/>
    <w:rPr>
      <w:b/>
      <w:bCs/>
    </w:rPr>
  </w:style>
  <w:style w:type="character" w:styleId="10">
    <w:name w:val="Hyperlink"/>
    <w:basedOn w:val="9"/>
    <w:unhideWhenUsed/>
    <w:qFormat/>
    <w:uiPriority w:val="99"/>
    <w:rPr>
      <w:color w:val="0000FF"/>
      <w:u w:val="single"/>
    </w:rPr>
  </w:style>
  <w:style w:type="character" w:styleId="11">
    <w:name w:val="annotation reference"/>
    <w:semiHidden/>
    <w:qFormat/>
    <w:uiPriority w:val="99"/>
    <w:rPr>
      <w:rFonts w:cs="Times New Roman"/>
      <w:sz w:val="21"/>
      <w:szCs w:val="21"/>
    </w:rPr>
  </w:style>
  <w:style w:type="paragraph" w:customStyle="1" w:styleId="12">
    <w:name w:val="列出段落1"/>
    <w:basedOn w:val="1"/>
    <w:qFormat/>
    <w:uiPriority w:val="99"/>
    <w:pPr>
      <w:ind w:firstLine="420" w:firstLineChars="200"/>
    </w:pPr>
  </w:style>
  <w:style w:type="character" w:customStyle="1" w:styleId="13">
    <w:name w:val="批注框文本 Char"/>
    <w:link w:val="4"/>
    <w:semiHidden/>
    <w:qFormat/>
    <w:locked/>
    <w:uiPriority w:val="99"/>
    <w:rPr>
      <w:rFonts w:cs="Times New Roman"/>
      <w:sz w:val="18"/>
      <w:szCs w:val="18"/>
    </w:rPr>
  </w:style>
  <w:style w:type="character" w:customStyle="1" w:styleId="14">
    <w:name w:val="批注文字 Char"/>
    <w:link w:val="3"/>
    <w:semiHidden/>
    <w:qFormat/>
    <w:locked/>
    <w:uiPriority w:val="99"/>
    <w:rPr>
      <w:rFonts w:cs="Times New Roman"/>
    </w:rPr>
  </w:style>
  <w:style w:type="character" w:customStyle="1" w:styleId="15">
    <w:name w:val="批注主题 Char"/>
    <w:link w:val="7"/>
    <w:semiHidden/>
    <w:qFormat/>
    <w:locked/>
    <w:uiPriority w:val="99"/>
    <w:rPr>
      <w:rFonts w:cs="Times New Roman"/>
      <w:b/>
      <w:bCs/>
    </w:rPr>
  </w:style>
  <w:style w:type="character" w:customStyle="1" w:styleId="16">
    <w:name w:val="页眉 Char"/>
    <w:basedOn w:val="9"/>
    <w:link w:val="6"/>
    <w:semiHidden/>
    <w:qFormat/>
    <w:uiPriority w:val="99"/>
    <w:rPr>
      <w:rFonts w:ascii="Calibri" w:hAnsi="Calibri"/>
      <w:kern w:val="2"/>
      <w:sz w:val="18"/>
      <w:szCs w:val="18"/>
    </w:rPr>
  </w:style>
  <w:style w:type="character" w:customStyle="1" w:styleId="17">
    <w:name w:val="页脚 Char"/>
    <w:basedOn w:val="9"/>
    <w:link w:val="5"/>
    <w:semiHidden/>
    <w:qFormat/>
    <w:uiPriority w:val="99"/>
    <w:rPr>
      <w:rFonts w:ascii="Calibri" w:hAnsi="Calibri"/>
      <w:kern w:val="2"/>
      <w:sz w:val="18"/>
      <w:szCs w:val="18"/>
    </w:rPr>
  </w:style>
</w:styles>
</file>

<file path=word/_rels/document.xml.rels><?xml version="1.0" encoding="UTF-8"?>

<Relationships xmlns="http://schemas.openxmlformats.org/package/2006/relationships">
  <Relationship Id="rId1" Type="http://schemas.openxmlformats.org/officeDocument/2006/relationships/styles" Target="styles.xml"/>
  <Relationship Id="rId2" Type="http://schemas.openxmlformats.org/officeDocument/2006/relationships/settings" Target="settings.xml"/>
  <Relationship Id="rId3" Type="http://schemas.openxmlformats.org/officeDocument/2006/relationships/theme" Target="theme/theme1.xml"/>
  <Relationship Id="rId4" Type="http://schemas.openxmlformats.org/officeDocument/2006/relationships/customXml" Target="../customXml/item1.xml"/>
  <Relationship Id="rId5" Type="http://schemas.openxmlformats.org/officeDocument/2006/relationships/fontTable" Target="fontTable.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Relationships xmlns="http://schemas.openxmlformats.org/package/2006/relationships">
  <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4</Pages>
  <Words>471</Words>
  <Characters>2691</Characters>
  <Lines>22</Lines>
  <Paragraphs>6</Paragraphs>
  <TotalTime>4</TotalTime>
  <ScaleCrop>false</ScaleCrop>
  <LinksUpToDate>false</LinksUpToDate>
  <CharactersWithSpaces>3156</CharactersWithSpaces>
  <Application>WPS Office_11.1.0.8976_F1E327BC-269C-435d-A152-05C5408002CA</Application>
  <DocSecurity>0</DocSecurity>
</Properties>
</file>

<file path=docProps/core.xml><?xml version="1.0" encoding="utf-8"?>
<coreProperties xmlns="http://schemas.openxmlformats.org/package/2006/metadata/core-properties" xmlns:cp="http://schemas.openxmlformats.org/package/2006/metadata/core-properties" xmlns:dc="http://purl.org/dc/elements/1.1/" xmlns:dcterms="http://purl.org/dc/terms/" xmlns:xsi="http://www.w3.org/2001/XMLSchema-instance">
  <dcterms:created xsi:type="dcterms:W3CDTF">2016-06-08T09:50:00Z</dcterms:created>
  <dc:creator>Administrator</dc:creator>
  <lastModifiedBy>脾气不太爆</lastModifiedBy>
  <lastPrinted>2016-06-08T09:50:00Z</lastPrinted>
  <dcterms:modified xsi:type="dcterms:W3CDTF">2019-09-23T00:41:08Z</dcterms:modified>
  <revision>574</revision>
</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2052-11.1.0.8976</vt:lpwstr>
  </property>
</Properties>
</file>